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35DE" w14:textId="78C253EE" w:rsidR="00903A3F" w:rsidRDefault="00903A3F" w:rsidP="007C4798">
      <w:pPr>
        <w:rPr>
          <w:rFonts w:asciiTheme="majorHAnsi" w:hAnsiTheme="majorHAnsi" w:cstheme="majorHAnsi"/>
          <w:b/>
          <w:i/>
          <w:lang w:val="en-US"/>
        </w:rPr>
      </w:pPr>
      <w:bookmarkStart w:id="0" w:name="_GoBack"/>
      <w:bookmarkEnd w:id="0"/>
    </w:p>
    <w:p w14:paraId="77B3B3BF" w14:textId="77777777" w:rsidR="00903A3F" w:rsidRDefault="00903A3F" w:rsidP="00EA0270">
      <w:pPr>
        <w:jc w:val="center"/>
        <w:rPr>
          <w:rFonts w:asciiTheme="majorHAnsi" w:hAnsiTheme="majorHAnsi" w:cstheme="majorHAnsi"/>
          <w:b/>
          <w:i/>
          <w:lang w:val="en-US"/>
        </w:rPr>
      </w:pPr>
    </w:p>
    <w:p w14:paraId="5F754C11" w14:textId="77777777" w:rsidR="00B5393B" w:rsidRPr="00903A3F" w:rsidRDefault="00FA5C72" w:rsidP="00EA0270">
      <w:pPr>
        <w:jc w:val="center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903A3F">
        <w:rPr>
          <w:rFonts w:asciiTheme="majorHAnsi" w:hAnsiTheme="majorHAnsi" w:cstheme="majorHAnsi"/>
          <w:b/>
          <w:i/>
          <w:sz w:val="28"/>
          <w:szCs w:val="28"/>
          <w:lang w:val="en-US"/>
        </w:rPr>
        <w:t>Personal Health Information Act</w:t>
      </w:r>
    </w:p>
    <w:p w14:paraId="31F40829" w14:textId="77777777" w:rsidR="00FA5C72" w:rsidRPr="00903A3F" w:rsidRDefault="00FA5C72" w:rsidP="00B5393B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79E9DA84" w14:textId="77777777" w:rsidR="00914904" w:rsidRPr="00DD384B" w:rsidRDefault="00914904" w:rsidP="00B5393B">
      <w:pPr>
        <w:jc w:val="center"/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</w:pPr>
    </w:p>
    <w:p w14:paraId="1B71010D" w14:textId="77777777" w:rsidR="00871E90" w:rsidRPr="00DD384B" w:rsidRDefault="009B4469" w:rsidP="00B5393B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DD384B">
        <w:rPr>
          <w:rFonts w:asciiTheme="majorHAnsi" w:hAnsiTheme="majorHAnsi" w:cstheme="majorHAnsi"/>
          <w:b/>
          <w:u w:val="single"/>
          <w:lang w:val="en-US"/>
        </w:rPr>
        <w:t>COMPLIANCE CHECKLIST</w:t>
      </w:r>
    </w:p>
    <w:p w14:paraId="59421661" w14:textId="77777777" w:rsidR="00871E90" w:rsidRPr="00DD384B" w:rsidRDefault="00871E90" w:rsidP="00B5393B">
      <w:pPr>
        <w:jc w:val="center"/>
        <w:rPr>
          <w:rFonts w:asciiTheme="majorHAnsi" w:hAnsiTheme="majorHAnsi" w:cstheme="majorHAnsi"/>
          <w:b/>
          <w:sz w:val="20"/>
          <w:szCs w:val="20"/>
          <w:u w:val="single"/>
          <w:lang w:val="en-US"/>
        </w:rPr>
      </w:pPr>
    </w:p>
    <w:p w14:paraId="57616C17" w14:textId="77777777" w:rsidR="00A95DA7" w:rsidRPr="00DD384B" w:rsidRDefault="00A95DA7" w:rsidP="0012300E">
      <w:pPr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F7C9AED" w14:textId="77777777" w:rsidR="00A95DA7" w:rsidRPr="00DD384B" w:rsidRDefault="00A95DA7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iCs/>
          <w:lang w:val="en-US"/>
        </w:rPr>
        <w:t xml:space="preserve">This checklist will help custodians under the Nova Scotia </w:t>
      </w:r>
      <w:r w:rsidRPr="00DD384B">
        <w:rPr>
          <w:rFonts w:asciiTheme="majorHAnsi" w:hAnsiTheme="majorHAnsi" w:cstheme="majorHAnsi"/>
          <w:i/>
          <w:iCs/>
          <w:lang w:val="en-US"/>
        </w:rPr>
        <w:t xml:space="preserve">Personal Health Information Act </w:t>
      </w:r>
      <w:r w:rsidRPr="00DD384B">
        <w:rPr>
          <w:rFonts w:asciiTheme="majorHAnsi" w:hAnsiTheme="majorHAnsi" w:cstheme="majorHAnsi"/>
          <w:lang w:val="en-US"/>
        </w:rPr>
        <w:t>(</w:t>
      </w:r>
      <w:r w:rsidRPr="00DD384B">
        <w:rPr>
          <w:rFonts w:asciiTheme="majorHAnsi" w:hAnsiTheme="majorHAnsi" w:cstheme="majorHAnsi"/>
          <w:i/>
          <w:iCs/>
          <w:lang w:val="en-US"/>
        </w:rPr>
        <w:t>PHIA</w:t>
      </w:r>
      <w:r w:rsidRPr="00DD384B">
        <w:rPr>
          <w:rFonts w:asciiTheme="majorHAnsi" w:hAnsiTheme="majorHAnsi" w:cstheme="majorHAnsi"/>
          <w:lang w:val="en-US"/>
        </w:rPr>
        <w:t xml:space="preserve">) start their privacy analysis to determine whether they have fulfilled their high-level requirements under the </w:t>
      </w:r>
      <w:r w:rsidRPr="00DD384B">
        <w:rPr>
          <w:rFonts w:asciiTheme="majorHAnsi" w:hAnsiTheme="majorHAnsi" w:cstheme="majorHAnsi"/>
          <w:i/>
          <w:lang w:val="en-US"/>
        </w:rPr>
        <w:t>Act</w:t>
      </w:r>
      <w:r w:rsidRPr="00DD384B">
        <w:rPr>
          <w:rFonts w:asciiTheme="majorHAnsi" w:hAnsiTheme="majorHAnsi" w:cstheme="majorHAnsi"/>
          <w:lang w:val="en-US"/>
        </w:rPr>
        <w:t xml:space="preserve">. </w:t>
      </w:r>
    </w:p>
    <w:p w14:paraId="7A505780" w14:textId="77777777" w:rsidR="00A95DA7" w:rsidRPr="00DD384B" w:rsidRDefault="00A95DA7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7739CECB" w14:textId="56AEFE8E" w:rsidR="00A95DA7" w:rsidRPr="001B4594" w:rsidRDefault="00A95DA7" w:rsidP="001B4594">
      <w:pPr>
        <w:pStyle w:val="Footer"/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Please note that this checklist does not represent an exhaustive list of custodians’ </w:t>
      </w:r>
      <w:r w:rsidRPr="001B4594">
        <w:rPr>
          <w:rFonts w:asciiTheme="majorHAnsi" w:hAnsiTheme="majorHAnsi" w:cstheme="majorHAnsi"/>
          <w:lang w:val="en-US"/>
        </w:rPr>
        <w:t xml:space="preserve">responsibilities under </w:t>
      </w:r>
      <w:r w:rsidRPr="001B4594">
        <w:rPr>
          <w:rFonts w:asciiTheme="majorHAnsi" w:hAnsiTheme="majorHAnsi" w:cstheme="majorHAnsi"/>
          <w:i/>
          <w:iCs/>
          <w:lang w:val="en-US"/>
        </w:rPr>
        <w:t>PHIA</w:t>
      </w:r>
      <w:r w:rsidRPr="001B4594">
        <w:rPr>
          <w:rFonts w:asciiTheme="majorHAnsi" w:hAnsiTheme="majorHAnsi" w:cstheme="majorHAnsi"/>
          <w:lang w:val="en-US"/>
        </w:rPr>
        <w:t xml:space="preserve">. For further details, please consult the </w:t>
      </w:r>
      <w:r w:rsidRPr="001B4594">
        <w:rPr>
          <w:rFonts w:asciiTheme="majorHAnsi" w:hAnsiTheme="majorHAnsi" w:cstheme="majorHAnsi"/>
          <w:i/>
          <w:lang w:val="en-US"/>
        </w:rPr>
        <w:t xml:space="preserve">Act </w:t>
      </w:r>
      <w:r w:rsidRPr="001B4594">
        <w:rPr>
          <w:rFonts w:asciiTheme="majorHAnsi" w:hAnsiTheme="majorHAnsi" w:cstheme="majorHAnsi"/>
          <w:lang w:val="en-US"/>
        </w:rPr>
        <w:t xml:space="preserve">and any regulations made under the </w:t>
      </w:r>
      <w:r w:rsidRPr="001B4594">
        <w:rPr>
          <w:rFonts w:asciiTheme="majorHAnsi" w:hAnsiTheme="majorHAnsi" w:cstheme="majorHAnsi"/>
          <w:i/>
          <w:lang w:val="en-US"/>
        </w:rPr>
        <w:t>Act</w:t>
      </w:r>
      <w:r w:rsidRPr="001B4594">
        <w:rPr>
          <w:rFonts w:asciiTheme="majorHAnsi" w:hAnsiTheme="majorHAnsi" w:cstheme="majorHAnsi"/>
          <w:lang w:val="en-US"/>
        </w:rPr>
        <w:t>, which are available for review at</w:t>
      </w:r>
      <w:r w:rsidR="001B4594" w:rsidRPr="001B4594">
        <w:rPr>
          <w:rFonts w:asciiTheme="majorHAnsi" w:hAnsiTheme="majorHAnsi" w:cstheme="majorHAnsi"/>
        </w:rPr>
        <w:t xml:space="preserve"> </w:t>
      </w:r>
      <w:hyperlink r:id="rId8" w:history="1">
        <w:r w:rsidR="001B4594" w:rsidRPr="001B4594">
          <w:rPr>
            <w:rStyle w:val="Hyperlink"/>
            <w:rFonts w:asciiTheme="majorHAnsi" w:hAnsiTheme="majorHAnsi" w:cstheme="majorHAnsi"/>
          </w:rPr>
          <w:t>www.novascotia.ca/DHW/PHIA</w:t>
        </w:r>
      </w:hyperlink>
      <w:r w:rsidR="001B4594" w:rsidRPr="001B4594">
        <w:rPr>
          <w:rFonts w:asciiTheme="majorHAnsi" w:hAnsiTheme="majorHAnsi" w:cstheme="majorHAnsi"/>
        </w:rPr>
        <w:t xml:space="preserve"> . </w:t>
      </w:r>
      <w:r w:rsidRPr="001B4594">
        <w:rPr>
          <w:rFonts w:asciiTheme="majorHAnsi" w:hAnsiTheme="majorHAnsi" w:cstheme="majorHAnsi"/>
          <w:lang w:val="en-US"/>
        </w:rPr>
        <w:t xml:space="preserve"> </w:t>
      </w:r>
      <w:r w:rsidR="00047211" w:rsidRPr="001B4594">
        <w:rPr>
          <w:rFonts w:asciiTheme="majorHAnsi" w:hAnsiTheme="majorHAnsi" w:cstheme="majorHAnsi"/>
          <w:lang w:val="en-US"/>
        </w:rPr>
        <w:t>C</w:t>
      </w:r>
      <w:r w:rsidRPr="001B4594">
        <w:rPr>
          <w:rFonts w:asciiTheme="majorHAnsi" w:hAnsiTheme="majorHAnsi" w:cstheme="majorHAnsi"/>
          <w:lang w:val="en-US"/>
        </w:rPr>
        <w:t>ustod</w:t>
      </w:r>
      <w:r w:rsidR="00047211" w:rsidRPr="001B4594">
        <w:rPr>
          <w:rFonts w:asciiTheme="majorHAnsi" w:hAnsiTheme="majorHAnsi" w:cstheme="majorHAnsi"/>
          <w:lang w:val="en-US"/>
        </w:rPr>
        <w:t>ians may also choose to seek professional advice regarding</w:t>
      </w:r>
      <w:r w:rsidRPr="001B4594">
        <w:rPr>
          <w:rFonts w:asciiTheme="majorHAnsi" w:hAnsiTheme="majorHAnsi" w:cstheme="majorHAnsi"/>
          <w:lang w:val="en-US"/>
        </w:rPr>
        <w:t xml:space="preserve"> their compliance with the </w:t>
      </w:r>
      <w:r w:rsidRPr="001B4594">
        <w:rPr>
          <w:rFonts w:asciiTheme="majorHAnsi" w:hAnsiTheme="majorHAnsi" w:cstheme="majorHAnsi"/>
          <w:i/>
          <w:lang w:val="en-US"/>
        </w:rPr>
        <w:t>Act.</w:t>
      </w:r>
    </w:p>
    <w:p w14:paraId="7FBF4757" w14:textId="77777777" w:rsidR="00A95DA7" w:rsidRPr="00DD384B" w:rsidRDefault="00A95DA7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6820CFB6" w14:textId="77777777" w:rsidR="00A95DA7" w:rsidRPr="00DD384B" w:rsidRDefault="00A95DA7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Under </w:t>
      </w:r>
      <w:r w:rsidRPr="00DD384B">
        <w:rPr>
          <w:rFonts w:asciiTheme="majorHAnsi" w:hAnsiTheme="majorHAnsi" w:cstheme="majorHAnsi"/>
          <w:i/>
          <w:lang w:val="en-US"/>
        </w:rPr>
        <w:t>PHIA</w:t>
      </w:r>
      <w:r w:rsidRPr="00DD384B">
        <w:rPr>
          <w:rFonts w:asciiTheme="majorHAnsi" w:hAnsiTheme="majorHAnsi" w:cstheme="majorHAnsi"/>
          <w:lang w:val="en-US"/>
        </w:rPr>
        <w:t>, custodians are required to:</w:t>
      </w:r>
    </w:p>
    <w:p w14:paraId="4DCD63BD" w14:textId="77777777" w:rsidR="00651280" w:rsidRPr="00DD384B" w:rsidRDefault="00651280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5B7835B5" w14:textId="77777777" w:rsidR="00744221" w:rsidRPr="00DD384B" w:rsidRDefault="0051615A" w:rsidP="00744221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prepare and </w:t>
      </w:r>
      <w:r w:rsidR="00744221" w:rsidRPr="00DD384B">
        <w:rPr>
          <w:rFonts w:asciiTheme="majorHAnsi" w:hAnsiTheme="majorHAnsi" w:cstheme="majorHAnsi"/>
          <w:lang w:val="en-US"/>
        </w:rPr>
        <w:t xml:space="preserve">make readily available a notice describing the purpose of the </w:t>
      </w:r>
      <w:r w:rsidR="003C7D9E" w:rsidRPr="00DD384B">
        <w:rPr>
          <w:rFonts w:asciiTheme="majorHAnsi" w:hAnsiTheme="majorHAnsi" w:cstheme="majorHAnsi"/>
          <w:lang w:val="en-US"/>
        </w:rPr>
        <w:t xml:space="preserve">custodian’s </w:t>
      </w:r>
      <w:r w:rsidR="00744221" w:rsidRPr="00DD384B">
        <w:rPr>
          <w:rFonts w:asciiTheme="majorHAnsi" w:hAnsiTheme="majorHAnsi" w:cstheme="majorHAnsi"/>
          <w:lang w:val="en-US"/>
        </w:rPr>
        <w:t>collection, use and disclosure of personal health information</w:t>
      </w:r>
      <w:r w:rsidR="00220A47" w:rsidRPr="00DD384B">
        <w:rPr>
          <w:rFonts w:asciiTheme="majorHAnsi" w:hAnsiTheme="majorHAnsi" w:cstheme="majorHAnsi"/>
          <w:lang w:val="en-US"/>
        </w:rPr>
        <w:t xml:space="preserve"> [</w:t>
      </w:r>
      <w:r w:rsidR="00220A47" w:rsidRPr="007C1383">
        <w:rPr>
          <w:rFonts w:asciiTheme="majorHAnsi" w:hAnsiTheme="majorHAnsi" w:cstheme="majorHAnsi"/>
          <w:b/>
          <w:lang w:val="en-US"/>
        </w:rPr>
        <w:t>“</w:t>
      </w:r>
      <w:r w:rsidR="00653948" w:rsidRPr="007C1383">
        <w:rPr>
          <w:rFonts w:asciiTheme="majorHAnsi" w:hAnsiTheme="majorHAnsi" w:cstheme="majorHAnsi"/>
          <w:b/>
          <w:lang w:val="en-US"/>
        </w:rPr>
        <w:t>notice of purposes</w:t>
      </w:r>
      <w:r w:rsidR="00220A47" w:rsidRPr="007C1383">
        <w:rPr>
          <w:rFonts w:asciiTheme="majorHAnsi" w:hAnsiTheme="majorHAnsi" w:cstheme="majorHAnsi"/>
          <w:b/>
          <w:lang w:val="en-US"/>
        </w:rPr>
        <w:t>”</w:t>
      </w:r>
      <w:r w:rsidR="00220A47" w:rsidRPr="00DD384B">
        <w:rPr>
          <w:rFonts w:asciiTheme="majorHAnsi" w:hAnsiTheme="majorHAnsi" w:cstheme="majorHAnsi"/>
          <w:lang w:val="en-US"/>
        </w:rPr>
        <w:t>]</w:t>
      </w:r>
      <w:r w:rsidR="00744221" w:rsidRPr="00DD384B">
        <w:rPr>
          <w:rFonts w:asciiTheme="majorHAnsi" w:hAnsiTheme="majorHAnsi" w:cstheme="majorHAnsi"/>
          <w:lang w:val="en-US"/>
        </w:rPr>
        <w:t xml:space="preserve"> (s. 15);</w:t>
      </w:r>
    </w:p>
    <w:p w14:paraId="2DB137BF" w14:textId="77777777" w:rsidR="00744221" w:rsidRPr="00DD384B" w:rsidRDefault="00744221" w:rsidP="00744221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n-US"/>
        </w:rPr>
      </w:pPr>
    </w:p>
    <w:p w14:paraId="02B46FCF" w14:textId="77777777" w:rsidR="00651280" w:rsidRPr="00DD384B" w:rsidRDefault="00651280" w:rsidP="00651280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have a </w:t>
      </w:r>
      <w:r w:rsidRPr="007C1383">
        <w:rPr>
          <w:rFonts w:asciiTheme="majorHAnsi" w:hAnsiTheme="majorHAnsi" w:cstheme="majorHAnsi"/>
          <w:b/>
          <w:lang w:val="en-US"/>
        </w:rPr>
        <w:t xml:space="preserve">written retention </w:t>
      </w:r>
      <w:r w:rsidR="006E295A" w:rsidRPr="007C1383">
        <w:rPr>
          <w:rFonts w:asciiTheme="majorHAnsi" w:hAnsiTheme="majorHAnsi" w:cstheme="majorHAnsi"/>
          <w:b/>
          <w:lang w:val="en-US"/>
        </w:rPr>
        <w:t xml:space="preserve">and destruction </w:t>
      </w:r>
      <w:r w:rsidRPr="007C1383">
        <w:rPr>
          <w:rFonts w:asciiTheme="majorHAnsi" w:hAnsiTheme="majorHAnsi" w:cstheme="majorHAnsi"/>
          <w:b/>
          <w:lang w:val="en-US"/>
        </w:rPr>
        <w:t>schedule</w:t>
      </w:r>
      <w:r w:rsidRPr="00DD384B">
        <w:rPr>
          <w:rFonts w:asciiTheme="majorHAnsi" w:hAnsiTheme="majorHAnsi" w:cstheme="majorHAnsi"/>
          <w:lang w:val="en-US"/>
        </w:rPr>
        <w:t xml:space="preserve"> for personal health information (s. 50);</w:t>
      </w:r>
    </w:p>
    <w:p w14:paraId="5F320E5F" w14:textId="77777777" w:rsidR="00B520B7" w:rsidRPr="00DD384B" w:rsidRDefault="00B520B7" w:rsidP="00B520B7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i/>
          <w:lang w:val="en-US"/>
        </w:rPr>
      </w:pPr>
    </w:p>
    <w:p w14:paraId="1E5E38DE" w14:textId="77777777" w:rsidR="007A7559" w:rsidRPr="00DD384B" w:rsidRDefault="00B520B7" w:rsidP="00B520B7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put in place </w:t>
      </w:r>
      <w:r w:rsidRPr="007C1383">
        <w:rPr>
          <w:rFonts w:asciiTheme="majorHAnsi" w:hAnsiTheme="majorHAnsi" w:cstheme="majorHAnsi"/>
          <w:b/>
          <w:i/>
          <w:lang w:val="en-US"/>
        </w:rPr>
        <w:t>“information practices”</w:t>
      </w:r>
      <w:r w:rsidRPr="007C1383">
        <w:rPr>
          <w:rFonts w:asciiTheme="majorHAnsi" w:hAnsiTheme="majorHAnsi" w:cstheme="majorHAnsi"/>
          <w:b/>
          <w:lang w:val="en-US"/>
        </w:rPr>
        <w:t xml:space="preserve"> </w:t>
      </w:r>
      <w:r w:rsidRPr="00DD384B">
        <w:rPr>
          <w:rFonts w:asciiTheme="majorHAnsi" w:hAnsiTheme="majorHAnsi" w:cstheme="majorHAnsi"/>
          <w:lang w:val="en-US"/>
        </w:rPr>
        <w:t>that</w:t>
      </w:r>
      <w:r w:rsidR="007A7559" w:rsidRPr="00DD384B">
        <w:rPr>
          <w:rFonts w:asciiTheme="majorHAnsi" w:hAnsiTheme="majorHAnsi" w:cstheme="majorHAnsi"/>
          <w:lang w:val="en-US"/>
        </w:rPr>
        <w:t>:</w:t>
      </w:r>
    </w:p>
    <w:p w14:paraId="1FB86BC6" w14:textId="77777777" w:rsidR="007A7559" w:rsidRPr="00DD384B" w:rsidRDefault="007A7559" w:rsidP="007A7559">
      <w:pPr>
        <w:pStyle w:val="ListParagraph"/>
        <w:rPr>
          <w:rFonts w:asciiTheme="majorHAnsi" w:hAnsiTheme="majorHAnsi" w:cstheme="majorHAnsi"/>
          <w:lang w:val="en-US"/>
        </w:rPr>
      </w:pPr>
    </w:p>
    <w:p w14:paraId="010B5D94" w14:textId="77777777" w:rsidR="007A7559" w:rsidRPr="00DD384B" w:rsidRDefault="007A7559" w:rsidP="007A7559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meet the requirements of </w:t>
      </w:r>
      <w:r w:rsidR="00B520B7" w:rsidRPr="00DD384B">
        <w:rPr>
          <w:rFonts w:asciiTheme="majorHAnsi" w:hAnsiTheme="majorHAnsi" w:cstheme="majorHAnsi"/>
          <w:lang w:val="en-US"/>
        </w:rPr>
        <w:t xml:space="preserve">the </w:t>
      </w:r>
      <w:r w:rsidR="00B520B7" w:rsidRPr="00DD384B">
        <w:rPr>
          <w:rFonts w:asciiTheme="majorHAnsi" w:hAnsiTheme="majorHAnsi" w:cstheme="majorHAnsi"/>
          <w:i/>
          <w:lang w:val="en-US"/>
        </w:rPr>
        <w:t>Act</w:t>
      </w:r>
      <w:r w:rsidRPr="00DD384B">
        <w:rPr>
          <w:rFonts w:asciiTheme="majorHAnsi" w:hAnsiTheme="majorHAnsi" w:cstheme="majorHAnsi"/>
          <w:i/>
          <w:lang w:val="en-US"/>
        </w:rPr>
        <w:t xml:space="preserve"> </w:t>
      </w:r>
      <w:r w:rsidRPr="00DD384B">
        <w:rPr>
          <w:rFonts w:asciiTheme="majorHAnsi" w:hAnsiTheme="majorHAnsi" w:cstheme="majorHAnsi"/>
          <w:lang w:val="en-US"/>
        </w:rPr>
        <w:t>and the regulations;</w:t>
      </w:r>
    </w:p>
    <w:p w14:paraId="2C11B7A8" w14:textId="77777777" w:rsidR="0052353B" w:rsidRPr="00DD384B" w:rsidRDefault="0052353B" w:rsidP="0052353B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i/>
          <w:lang w:val="en-US"/>
        </w:rPr>
      </w:pPr>
    </w:p>
    <w:p w14:paraId="3EBF670C" w14:textId="77777777" w:rsidR="0052353B" w:rsidRPr="00DD384B" w:rsidRDefault="007A7559" w:rsidP="0052353B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r w:rsidRPr="00DD384B">
        <w:rPr>
          <w:rFonts w:asciiTheme="majorHAnsi" w:hAnsiTheme="majorHAnsi" w:cstheme="majorHAnsi"/>
          <w:lang w:val="en-US"/>
        </w:rPr>
        <w:t>are reasonable in the circumstances; and</w:t>
      </w:r>
    </w:p>
    <w:p w14:paraId="4FE1137C" w14:textId="77777777" w:rsidR="0052353B" w:rsidRPr="00DD384B" w:rsidRDefault="0052353B" w:rsidP="0052353B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i/>
          <w:lang w:val="en-US"/>
        </w:rPr>
      </w:pPr>
    </w:p>
    <w:p w14:paraId="08B54F39" w14:textId="77777777" w:rsidR="0052353B" w:rsidRPr="00DD384B" w:rsidRDefault="0052353B" w:rsidP="0052353B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r w:rsidRPr="00DD384B">
        <w:rPr>
          <w:rFonts w:asciiTheme="majorHAnsi" w:hAnsiTheme="majorHAnsi" w:cstheme="majorHAnsi"/>
          <w:lang w:val="en-US"/>
        </w:rPr>
        <w:t>ensure that personal health information in the custodian's custody or under its control is protected against</w:t>
      </w:r>
      <w:bookmarkStart w:id="1" w:name="0_pgfId-7778"/>
      <w:bookmarkEnd w:id="1"/>
      <w:r w:rsidR="00EE5EDF" w:rsidRPr="00DD384B">
        <w:rPr>
          <w:rFonts w:asciiTheme="majorHAnsi" w:hAnsiTheme="majorHAnsi" w:cstheme="majorHAnsi"/>
          <w:lang w:val="en-US"/>
        </w:rPr>
        <w:t>:</w:t>
      </w:r>
    </w:p>
    <w:p w14:paraId="2EACE2A6" w14:textId="77777777" w:rsidR="0052353B" w:rsidRPr="00DD384B" w:rsidRDefault="0052353B" w:rsidP="0052353B">
      <w:pPr>
        <w:autoSpaceDE w:val="0"/>
        <w:autoSpaceDN w:val="0"/>
        <w:adjustRightInd w:val="0"/>
        <w:ind w:left="1800"/>
        <w:rPr>
          <w:rFonts w:asciiTheme="majorHAnsi" w:hAnsiTheme="majorHAnsi" w:cstheme="majorHAnsi"/>
          <w:i/>
          <w:lang w:val="en-US"/>
        </w:rPr>
      </w:pPr>
    </w:p>
    <w:p w14:paraId="397FC2D6" w14:textId="1AE6DF58" w:rsidR="0052353B" w:rsidRPr="00DD384B" w:rsidRDefault="0052353B" w:rsidP="0052353B">
      <w:pPr>
        <w:numPr>
          <w:ilvl w:val="2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r w:rsidRPr="00DD384B">
        <w:rPr>
          <w:rFonts w:asciiTheme="majorHAnsi" w:hAnsiTheme="majorHAnsi" w:cstheme="majorHAnsi"/>
          <w:lang w:val="en-US"/>
        </w:rPr>
        <w:t>theft or loss of the information</w:t>
      </w:r>
      <w:r w:rsidR="00EE5EDF" w:rsidRPr="00DD384B">
        <w:rPr>
          <w:rFonts w:asciiTheme="majorHAnsi" w:hAnsiTheme="majorHAnsi" w:cstheme="majorHAnsi"/>
          <w:lang w:val="en-US"/>
        </w:rPr>
        <w:t>;</w:t>
      </w:r>
      <w:r w:rsidRPr="00DD384B">
        <w:rPr>
          <w:rFonts w:asciiTheme="majorHAnsi" w:hAnsiTheme="majorHAnsi" w:cstheme="majorHAnsi"/>
          <w:lang w:val="en-US"/>
        </w:rPr>
        <w:t xml:space="preserve"> and </w:t>
      </w:r>
      <w:bookmarkStart w:id="2" w:name="0_pgfId-7779"/>
      <w:bookmarkEnd w:id="2"/>
    </w:p>
    <w:p w14:paraId="75625EFC" w14:textId="77777777" w:rsidR="0052353B" w:rsidRPr="00DD384B" w:rsidRDefault="0052353B" w:rsidP="0052353B">
      <w:pPr>
        <w:autoSpaceDE w:val="0"/>
        <w:autoSpaceDN w:val="0"/>
        <w:adjustRightInd w:val="0"/>
        <w:ind w:left="1800"/>
        <w:rPr>
          <w:rFonts w:asciiTheme="majorHAnsi" w:hAnsiTheme="majorHAnsi" w:cstheme="majorHAnsi"/>
          <w:i/>
          <w:lang w:val="en-US"/>
        </w:rPr>
      </w:pPr>
    </w:p>
    <w:p w14:paraId="59E2E22E" w14:textId="2612E147" w:rsidR="00B520B7" w:rsidRPr="00DD384B" w:rsidRDefault="0052353B" w:rsidP="0052353B">
      <w:pPr>
        <w:numPr>
          <w:ilvl w:val="2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proofErr w:type="gramStart"/>
      <w:r w:rsidRPr="00DD384B">
        <w:rPr>
          <w:rFonts w:asciiTheme="majorHAnsi" w:hAnsiTheme="majorHAnsi" w:cstheme="majorHAnsi"/>
          <w:lang w:val="en-US"/>
        </w:rPr>
        <w:t>unauthorized</w:t>
      </w:r>
      <w:proofErr w:type="gramEnd"/>
      <w:r w:rsidRPr="00DD384B">
        <w:rPr>
          <w:rFonts w:asciiTheme="majorHAnsi" w:hAnsiTheme="majorHAnsi" w:cstheme="majorHAnsi"/>
          <w:lang w:val="en-US"/>
        </w:rPr>
        <w:t xml:space="preserve"> access to or use, disclosure, copying or modification of the information</w:t>
      </w:r>
      <w:r w:rsidRPr="00DD384B">
        <w:rPr>
          <w:rFonts w:asciiTheme="majorHAnsi" w:hAnsiTheme="majorHAnsi" w:cstheme="majorHAnsi"/>
          <w:i/>
          <w:lang w:val="en-US"/>
        </w:rPr>
        <w:t xml:space="preserve"> </w:t>
      </w:r>
      <w:r w:rsidR="007A7559" w:rsidRPr="00DD384B">
        <w:rPr>
          <w:rFonts w:asciiTheme="majorHAnsi" w:hAnsiTheme="majorHAnsi" w:cstheme="majorHAnsi"/>
          <w:lang w:val="en-US"/>
        </w:rPr>
        <w:t>(s. 62(1))</w:t>
      </w:r>
      <w:r w:rsidR="00EE5EDF" w:rsidRPr="00DD384B">
        <w:rPr>
          <w:rFonts w:asciiTheme="majorHAnsi" w:hAnsiTheme="majorHAnsi" w:cstheme="majorHAnsi"/>
          <w:lang w:val="en-US"/>
        </w:rPr>
        <w:t>.</w:t>
      </w:r>
    </w:p>
    <w:p w14:paraId="700BE9A2" w14:textId="77777777" w:rsidR="00B520B7" w:rsidRPr="00DD384B" w:rsidRDefault="00B520B7" w:rsidP="00B520B7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lang w:val="en-US"/>
        </w:rPr>
      </w:pPr>
    </w:p>
    <w:p w14:paraId="140ECD69" w14:textId="77777777" w:rsidR="00B520B7" w:rsidRPr="00DD384B" w:rsidRDefault="00B520B7" w:rsidP="00B520B7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i/>
          <w:lang w:val="en-US"/>
        </w:rPr>
      </w:pPr>
      <w:r w:rsidRPr="00DD384B">
        <w:rPr>
          <w:rFonts w:asciiTheme="majorHAnsi" w:hAnsiTheme="majorHAnsi" w:cstheme="majorHAnsi"/>
          <w:i/>
          <w:lang w:val="en-US"/>
        </w:rPr>
        <w:t>“Information practices”</w:t>
      </w:r>
      <w:r w:rsidRPr="00DD384B">
        <w:rPr>
          <w:rFonts w:asciiTheme="majorHAnsi" w:hAnsiTheme="majorHAnsi" w:cstheme="majorHAnsi"/>
          <w:lang w:val="en-US"/>
        </w:rPr>
        <w:t xml:space="preserve"> are defined in the </w:t>
      </w:r>
      <w:r w:rsidRPr="00DD384B">
        <w:rPr>
          <w:rFonts w:asciiTheme="majorHAnsi" w:hAnsiTheme="majorHAnsi" w:cstheme="majorHAnsi"/>
          <w:i/>
          <w:lang w:val="en-US"/>
        </w:rPr>
        <w:t xml:space="preserve">Act </w:t>
      </w:r>
      <w:r w:rsidRPr="00DD384B">
        <w:rPr>
          <w:rFonts w:asciiTheme="majorHAnsi" w:hAnsiTheme="majorHAnsi" w:cstheme="majorHAnsi"/>
          <w:lang w:val="en-US"/>
        </w:rPr>
        <w:t xml:space="preserve">(s. 3(n)) as </w:t>
      </w:r>
      <w:r w:rsidRPr="00DD384B">
        <w:rPr>
          <w:rFonts w:asciiTheme="majorHAnsi" w:hAnsiTheme="majorHAnsi" w:cstheme="majorHAnsi"/>
          <w:i/>
          <w:lang w:val="en-US"/>
        </w:rPr>
        <w:t>“the policies of the custodian for actions in relation to personal health information, including</w:t>
      </w:r>
      <w:bookmarkStart w:id="3" w:name="0_pgfId-6961"/>
      <w:bookmarkEnd w:id="3"/>
      <w:r w:rsidR="00EE5EDF" w:rsidRPr="00DD384B">
        <w:rPr>
          <w:rFonts w:asciiTheme="majorHAnsi" w:hAnsiTheme="majorHAnsi" w:cstheme="majorHAnsi"/>
          <w:i/>
          <w:lang w:val="en-US"/>
        </w:rPr>
        <w:t>:</w:t>
      </w:r>
    </w:p>
    <w:p w14:paraId="16EAFBCE" w14:textId="77777777" w:rsidR="00B520B7" w:rsidRPr="00DD384B" w:rsidRDefault="00B520B7" w:rsidP="00B520B7">
      <w:p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</w:p>
    <w:p w14:paraId="4FCACC53" w14:textId="3D591E03" w:rsidR="00B520B7" w:rsidRPr="00DD384B" w:rsidRDefault="00B520B7" w:rsidP="00B520B7">
      <w:pPr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r w:rsidRPr="00DD384B">
        <w:rPr>
          <w:rFonts w:asciiTheme="majorHAnsi" w:hAnsiTheme="majorHAnsi" w:cstheme="majorHAnsi"/>
          <w:i/>
          <w:lang w:val="en-US"/>
        </w:rPr>
        <w:t>when, how</w:t>
      </w:r>
      <w:r w:rsidR="00EE5EDF" w:rsidRPr="00DD384B">
        <w:rPr>
          <w:rFonts w:asciiTheme="majorHAnsi" w:hAnsiTheme="majorHAnsi" w:cstheme="majorHAnsi"/>
          <w:i/>
          <w:lang w:val="en-US"/>
        </w:rPr>
        <w:t>,</w:t>
      </w:r>
      <w:r w:rsidRPr="00DD384B">
        <w:rPr>
          <w:rFonts w:asciiTheme="majorHAnsi" w:hAnsiTheme="majorHAnsi" w:cstheme="majorHAnsi"/>
          <w:i/>
          <w:lang w:val="en-US"/>
        </w:rPr>
        <w:t xml:space="preserve"> and the purposes for which the custodian routinely collects, uses, discloses, retains, de-identifies, destroys or disposes of personal health information</w:t>
      </w:r>
      <w:r w:rsidR="00EE5EDF" w:rsidRPr="00DD384B">
        <w:rPr>
          <w:rFonts w:asciiTheme="majorHAnsi" w:hAnsiTheme="majorHAnsi" w:cstheme="majorHAnsi"/>
          <w:i/>
          <w:lang w:val="en-US"/>
        </w:rPr>
        <w:t>;</w:t>
      </w:r>
      <w:r w:rsidRPr="00DD384B">
        <w:rPr>
          <w:rFonts w:asciiTheme="majorHAnsi" w:hAnsiTheme="majorHAnsi" w:cstheme="majorHAnsi"/>
          <w:i/>
          <w:lang w:val="en-US"/>
        </w:rPr>
        <w:t xml:space="preserve"> and</w:t>
      </w:r>
      <w:bookmarkStart w:id="4" w:name="0_pgfId-6962"/>
      <w:bookmarkEnd w:id="4"/>
    </w:p>
    <w:p w14:paraId="320D78BA" w14:textId="77777777" w:rsidR="00B520B7" w:rsidRPr="00DD384B" w:rsidRDefault="00B520B7" w:rsidP="00B520B7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lang w:val="en-US"/>
        </w:rPr>
      </w:pPr>
    </w:p>
    <w:p w14:paraId="49DD329D" w14:textId="667468D7" w:rsidR="00B520B7" w:rsidRPr="00DD384B" w:rsidRDefault="00B520B7" w:rsidP="00B520B7">
      <w:pPr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i/>
          <w:lang w:val="en-US"/>
        </w:rPr>
      </w:pPr>
      <w:proofErr w:type="gramStart"/>
      <w:r w:rsidRPr="00DD384B">
        <w:rPr>
          <w:rFonts w:asciiTheme="majorHAnsi" w:hAnsiTheme="majorHAnsi" w:cstheme="majorHAnsi"/>
          <w:i/>
          <w:lang w:val="en-US"/>
        </w:rPr>
        <w:t>the</w:t>
      </w:r>
      <w:proofErr w:type="gramEnd"/>
      <w:r w:rsidRPr="00DD384B">
        <w:rPr>
          <w:rFonts w:asciiTheme="majorHAnsi" w:hAnsiTheme="majorHAnsi" w:cstheme="majorHAnsi"/>
          <w:i/>
          <w:lang w:val="en-US"/>
        </w:rPr>
        <w:t xml:space="preserve"> administrative, technical</w:t>
      </w:r>
      <w:r w:rsidR="00EE5EDF" w:rsidRPr="00DD384B">
        <w:rPr>
          <w:rFonts w:asciiTheme="majorHAnsi" w:hAnsiTheme="majorHAnsi" w:cstheme="majorHAnsi"/>
          <w:i/>
          <w:lang w:val="en-US"/>
        </w:rPr>
        <w:t>,</w:t>
      </w:r>
      <w:r w:rsidRPr="00DD384B">
        <w:rPr>
          <w:rFonts w:asciiTheme="majorHAnsi" w:hAnsiTheme="majorHAnsi" w:cstheme="majorHAnsi"/>
          <w:i/>
          <w:lang w:val="en-US"/>
        </w:rPr>
        <w:t xml:space="preserve"> and physical safeguards and practices that the custodian maintains w</w:t>
      </w:r>
      <w:r w:rsidR="00B51767" w:rsidRPr="00DD384B">
        <w:rPr>
          <w:rFonts w:asciiTheme="majorHAnsi" w:hAnsiTheme="majorHAnsi" w:cstheme="majorHAnsi"/>
          <w:i/>
          <w:lang w:val="en-US"/>
        </w:rPr>
        <w:t>ith respect to the information</w:t>
      </w:r>
      <w:r w:rsidR="00EE5EDF" w:rsidRPr="00DD384B">
        <w:rPr>
          <w:rFonts w:asciiTheme="majorHAnsi" w:hAnsiTheme="majorHAnsi" w:cstheme="majorHAnsi"/>
          <w:i/>
          <w:lang w:val="en-US"/>
        </w:rPr>
        <w:t>.</w:t>
      </w:r>
      <w:r w:rsidR="00B51767" w:rsidRPr="00DD384B">
        <w:rPr>
          <w:rFonts w:asciiTheme="majorHAnsi" w:hAnsiTheme="majorHAnsi" w:cstheme="majorHAnsi"/>
          <w:i/>
          <w:lang w:val="en-US"/>
        </w:rPr>
        <w:t>”</w:t>
      </w:r>
    </w:p>
    <w:p w14:paraId="45EB8FF8" w14:textId="77777777" w:rsidR="00B520B7" w:rsidRPr="00DD384B" w:rsidRDefault="00B520B7" w:rsidP="00B520B7">
      <w:pPr>
        <w:rPr>
          <w:rFonts w:asciiTheme="majorHAnsi" w:hAnsiTheme="majorHAnsi" w:cstheme="majorHAnsi"/>
          <w:lang w:val="en-US"/>
        </w:rPr>
      </w:pPr>
    </w:p>
    <w:p w14:paraId="08D01AA2" w14:textId="77777777" w:rsidR="007566C7" w:rsidRDefault="00EE30D1" w:rsidP="00B520B7">
      <w:pPr>
        <w:numPr>
          <w:ilvl w:val="0"/>
          <w:numId w:val="8"/>
        </w:numPr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>implement, maintain</w:t>
      </w:r>
      <w:r w:rsidR="00EE5EDF" w:rsidRPr="00DD384B">
        <w:rPr>
          <w:rFonts w:asciiTheme="majorHAnsi" w:hAnsiTheme="majorHAnsi" w:cstheme="majorHAnsi"/>
          <w:lang w:val="en-US"/>
        </w:rPr>
        <w:t>,</w:t>
      </w:r>
      <w:r w:rsidRPr="00DD384B">
        <w:rPr>
          <w:rFonts w:asciiTheme="majorHAnsi" w:hAnsiTheme="majorHAnsi" w:cstheme="majorHAnsi"/>
          <w:lang w:val="en-US"/>
        </w:rPr>
        <w:t xml:space="preserve"> and comply with a </w:t>
      </w:r>
      <w:r w:rsidRPr="007C1383">
        <w:rPr>
          <w:rFonts w:asciiTheme="majorHAnsi" w:hAnsiTheme="majorHAnsi" w:cstheme="majorHAnsi"/>
          <w:b/>
          <w:lang w:val="en-US"/>
        </w:rPr>
        <w:t>complaints policy</w:t>
      </w:r>
      <w:r w:rsidRPr="00DD384B">
        <w:rPr>
          <w:rFonts w:asciiTheme="majorHAnsi" w:hAnsiTheme="majorHAnsi" w:cstheme="majorHAnsi"/>
          <w:lang w:val="en-US"/>
        </w:rPr>
        <w:t xml:space="preserve"> for an individual to make a complaint under this </w:t>
      </w:r>
      <w:r w:rsidRPr="00DD384B">
        <w:rPr>
          <w:rFonts w:asciiTheme="majorHAnsi" w:hAnsiTheme="majorHAnsi" w:cstheme="majorHAnsi"/>
          <w:i/>
          <w:lang w:val="en-US"/>
        </w:rPr>
        <w:t>Act</w:t>
      </w:r>
      <w:r w:rsidRPr="00DD384B">
        <w:rPr>
          <w:rFonts w:asciiTheme="majorHAnsi" w:hAnsiTheme="majorHAnsi" w:cstheme="majorHAnsi"/>
          <w:lang w:val="en-US"/>
        </w:rPr>
        <w:t xml:space="preserve"> (s. 62(2))</w:t>
      </w:r>
      <w:r w:rsidR="007566C7">
        <w:rPr>
          <w:rFonts w:asciiTheme="majorHAnsi" w:hAnsiTheme="majorHAnsi" w:cstheme="majorHAnsi"/>
          <w:lang w:val="en-US"/>
        </w:rPr>
        <w:t>:</w:t>
      </w:r>
    </w:p>
    <w:p w14:paraId="19588FEB" w14:textId="77777777" w:rsidR="007566C7" w:rsidRDefault="007566C7" w:rsidP="007566C7">
      <w:pPr>
        <w:ind w:left="360"/>
        <w:rPr>
          <w:rFonts w:asciiTheme="majorHAnsi" w:hAnsiTheme="majorHAnsi" w:cstheme="majorHAnsi"/>
          <w:lang w:val="en-US"/>
        </w:rPr>
      </w:pPr>
    </w:p>
    <w:p w14:paraId="7595D84D" w14:textId="2ED55558" w:rsidR="007566C7" w:rsidRDefault="007566C7" w:rsidP="007566C7">
      <w:pPr>
        <w:ind w:left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 complaints policy must include the following:</w:t>
      </w:r>
    </w:p>
    <w:p w14:paraId="1097E914" w14:textId="77777777" w:rsidR="007566C7" w:rsidRDefault="007566C7" w:rsidP="007566C7">
      <w:pPr>
        <w:ind w:left="360"/>
        <w:rPr>
          <w:rFonts w:asciiTheme="majorHAnsi" w:hAnsiTheme="majorHAnsi" w:cstheme="majorHAnsi"/>
          <w:lang w:val="en-US"/>
        </w:rPr>
      </w:pPr>
    </w:p>
    <w:p w14:paraId="68B66A22" w14:textId="41AEE909" w:rsidR="007566C7" w:rsidRDefault="007566C7" w:rsidP="007566C7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 </w:t>
      </w:r>
      <w:r w:rsidR="007C1383">
        <w:rPr>
          <w:rFonts w:asciiTheme="majorHAnsi" w:hAnsiTheme="majorHAnsi" w:cstheme="majorHAnsi"/>
          <w:lang w:val="en-US"/>
        </w:rPr>
        <w:t xml:space="preserve">requirement that the </w:t>
      </w:r>
      <w:r>
        <w:rPr>
          <w:rFonts w:asciiTheme="majorHAnsi" w:hAnsiTheme="majorHAnsi" w:cstheme="majorHAnsi"/>
          <w:lang w:val="en-US"/>
        </w:rPr>
        <w:t>complaint be submitted in writing</w:t>
      </w:r>
      <w:r w:rsidR="007C1383">
        <w:rPr>
          <w:rFonts w:asciiTheme="majorHAnsi" w:hAnsiTheme="majorHAnsi" w:cstheme="majorHAnsi"/>
          <w:lang w:val="en-US"/>
        </w:rPr>
        <w:t>;</w:t>
      </w:r>
    </w:p>
    <w:p w14:paraId="6E28694A" w14:textId="77777777" w:rsidR="007566C7" w:rsidRDefault="007566C7" w:rsidP="007566C7">
      <w:pPr>
        <w:ind w:left="1080"/>
        <w:rPr>
          <w:rFonts w:asciiTheme="majorHAnsi" w:hAnsiTheme="majorHAnsi" w:cstheme="majorHAnsi"/>
          <w:lang w:val="en-US"/>
        </w:rPr>
      </w:pPr>
    </w:p>
    <w:p w14:paraId="05737703" w14:textId="6E2EC2D4" w:rsidR="007566C7" w:rsidRDefault="007566C7" w:rsidP="007566C7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 statement of the time period following receipt of the written complaint when the custodian must process, investigate and made a decision on the complaint and reply to the complainant;</w:t>
      </w:r>
      <w:r w:rsidR="007C1383">
        <w:rPr>
          <w:rFonts w:asciiTheme="majorHAnsi" w:hAnsiTheme="majorHAnsi" w:cstheme="majorHAnsi"/>
          <w:lang w:val="en-US"/>
        </w:rPr>
        <w:t xml:space="preserve"> and</w:t>
      </w:r>
    </w:p>
    <w:p w14:paraId="1F5C2862" w14:textId="77777777" w:rsidR="007566C7" w:rsidRDefault="007566C7" w:rsidP="007566C7">
      <w:pPr>
        <w:ind w:left="1080"/>
        <w:rPr>
          <w:rFonts w:asciiTheme="majorHAnsi" w:hAnsiTheme="majorHAnsi" w:cstheme="majorHAnsi"/>
          <w:lang w:val="en-US"/>
        </w:rPr>
      </w:pPr>
    </w:p>
    <w:p w14:paraId="7FF50981" w14:textId="77777777" w:rsidR="007566C7" w:rsidRDefault="007566C7" w:rsidP="007566C7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time period referenced above must be no longer than 60 days, unless:</w:t>
      </w:r>
    </w:p>
    <w:p w14:paraId="5616CB22" w14:textId="77777777" w:rsidR="007566C7" w:rsidRDefault="007566C7" w:rsidP="007566C7">
      <w:pPr>
        <w:pStyle w:val="ListParagraph"/>
        <w:rPr>
          <w:rFonts w:asciiTheme="majorHAnsi" w:hAnsiTheme="majorHAnsi" w:cstheme="majorHAnsi"/>
          <w:lang w:val="en-US"/>
        </w:rPr>
      </w:pPr>
    </w:p>
    <w:p w14:paraId="2CA732B4" w14:textId="767A8A41" w:rsidR="007566C7" w:rsidRDefault="007566C7" w:rsidP="007566C7">
      <w:pPr>
        <w:numPr>
          <w:ilvl w:val="2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custodian extends the period by no more than 30 days; or </w:t>
      </w:r>
    </w:p>
    <w:p w14:paraId="2DC500FB" w14:textId="77777777" w:rsidR="007566C7" w:rsidRDefault="007566C7" w:rsidP="007566C7">
      <w:pPr>
        <w:pStyle w:val="ListParagraph"/>
        <w:rPr>
          <w:rFonts w:asciiTheme="majorHAnsi" w:hAnsiTheme="majorHAnsi" w:cstheme="majorHAnsi"/>
          <w:lang w:val="en-US"/>
        </w:rPr>
      </w:pPr>
    </w:p>
    <w:p w14:paraId="08858617" w14:textId="77777777" w:rsidR="005D56A9" w:rsidRDefault="005D56A9" w:rsidP="007566C7">
      <w:pPr>
        <w:numPr>
          <w:ilvl w:val="2"/>
          <w:numId w:val="8"/>
        </w:numPr>
        <w:rPr>
          <w:rFonts w:asciiTheme="majorHAnsi" w:hAnsiTheme="majorHAnsi" w:cstheme="majorHAnsi"/>
          <w:lang w:val="en-US"/>
        </w:rPr>
      </w:pPr>
      <w:proofErr w:type="gramStart"/>
      <w:r>
        <w:rPr>
          <w:rFonts w:asciiTheme="majorHAnsi" w:hAnsiTheme="majorHAnsi" w:cstheme="majorHAnsi"/>
          <w:lang w:val="en-US"/>
        </w:rPr>
        <w:t>a</w:t>
      </w:r>
      <w:proofErr w:type="gramEnd"/>
      <w:r>
        <w:rPr>
          <w:rFonts w:asciiTheme="majorHAnsi" w:hAnsiTheme="majorHAnsi" w:cstheme="majorHAnsi"/>
          <w:lang w:val="en-US"/>
        </w:rPr>
        <w:t xml:space="preserve"> </w:t>
      </w:r>
      <w:r w:rsidR="007566C7">
        <w:rPr>
          <w:rFonts w:asciiTheme="majorHAnsi" w:hAnsiTheme="majorHAnsi" w:cstheme="majorHAnsi"/>
          <w:lang w:val="en-US"/>
        </w:rPr>
        <w:t>longer</w:t>
      </w:r>
      <w:r>
        <w:rPr>
          <w:rFonts w:asciiTheme="majorHAnsi" w:hAnsiTheme="majorHAnsi" w:cstheme="majorHAnsi"/>
          <w:lang w:val="en-US"/>
        </w:rPr>
        <w:t xml:space="preserve"> extension if</w:t>
      </w:r>
      <w:r w:rsidR="007566C7">
        <w:rPr>
          <w:rFonts w:asciiTheme="majorHAnsi" w:hAnsiTheme="majorHAnsi" w:cstheme="majorHAnsi"/>
          <w:lang w:val="en-US"/>
        </w:rPr>
        <w:t xml:space="preserve"> approved by the Review Officer. </w:t>
      </w:r>
    </w:p>
    <w:p w14:paraId="13103248" w14:textId="77777777" w:rsidR="005D56A9" w:rsidRDefault="005D56A9" w:rsidP="005D56A9">
      <w:pPr>
        <w:pStyle w:val="ListParagraph"/>
        <w:rPr>
          <w:rFonts w:asciiTheme="majorHAnsi" w:hAnsiTheme="majorHAnsi" w:cstheme="majorHAnsi"/>
          <w:lang w:val="en-US"/>
        </w:rPr>
      </w:pPr>
    </w:p>
    <w:p w14:paraId="544C7869" w14:textId="0575CB98" w:rsidR="007566C7" w:rsidRDefault="007566C7" w:rsidP="007C1383">
      <w:pPr>
        <w:ind w:left="7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[Regulation clause 8]</w:t>
      </w:r>
    </w:p>
    <w:p w14:paraId="69201750" w14:textId="77777777" w:rsidR="00EE30D1" w:rsidRPr="00DD384B" w:rsidRDefault="00EE30D1" w:rsidP="00AA59F6">
      <w:pPr>
        <w:rPr>
          <w:rFonts w:asciiTheme="majorHAnsi" w:hAnsiTheme="majorHAnsi" w:cstheme="majorHAnsi"/>
          <w:lang w:val="en-US"/>
        </w:rPr>
      </w:pPr>
    </w:p>
    <w:p w14:paraId="0F2B3FD7" w14:textId="77777777" w:rsidR="00B520B7" w:rsidRDefault="00B520B7" w:rsidP="00B520B7">
      <w:pPr>
        <w:numPr>
          <w:ilvl w:val="0"/>
          <w:numId w:val="8"/>
        </w:numPr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have the ability to create and maintain a </w:t>
      </w:r>
      <w:r w:rsidRPr="000D2E7E">
        <w:rPr>
          <w:rFonts w:asciiTheme="majorHAnsi" w:hAnsiTheme="majorHAnsi" w:cstheme="majorHAnsi"/>
          <w:b/>
          <w:lang w:val="en-US"/>
        </w:rPr>
        <w:t>record of user activity</w:t>
      </w:r>
      <w:r w:rsidRPr="00DD384B">
        <w:rPr>
          <w:rFonts w:asciiTheme="majorHAnsi" w:hAnsiTheme="majorHAnsi" w:cstheme="majorHAnsi"/>
          <w:lang w:val="en-US"/>
        </w:rPr>
        <w:t xml:space="preserve"> for any electronic information system it uses to maintain personal health information (s. 63);</w:t>
      </w:r>
    </w:p>
    <w:p w14:paraId="0B535BD2" w14:textId="77777777" w:rsidR="00C466D5" w:rsidRDefault="00C466D5" w:rsidP="00C466D5">
      <w:pPr>
        <w:ind w:left="1080"/>
        <w:rPr>
          <w:rFonts w:asciiTheme="majorHAnsi" w:hAnsiTheme="majorHAnsi" w:cstheme="majorHAnsi"/>
          <w:lang w:val="en-US"/>
        </w:rPr>
      </w:pPr>
    </w:p>
    <w:p w14:paraId="6FBD1256" w14:textId="60EF6DE8" w:rsidR="00C466D5" w:rsidRDefault="007C1383" w:rsidP="007C1383">
      <w:pPr>
        <w:ind w:firstLine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</w:t>
      </w:r>
      <w:r w:rsidR="00C466D5">
        <w:rPr>
          <w:rFonts w:asciiTheme="majorHAnsi" w:hAnsiTheme="majorHAnsi" w:cstheme="majorHAnsi"/>
          <w:lang w:val="en-US"/>
        </w:rPr>
        <w:t xml:space="preserve"> record of user activity must include the following:</w:t>
      </w:r>
    </w:p>
    <w:p w14:paraId="5C585A8F" w14:textId="77777777" w:rsidR="007C1383" w:rsidRDefault="007C1383" w:rsidP="007C1383">
      <w:pPr>
        <w:ind w:firstLine="360"/>
        <w:rPr>
          <w:rFonts w:asciiTheme="majorHAnsi" w:hAnsiTheme="majorHAnsi" w:cstheme="majorHAnsi"/>
          <w:lang w:val="en-US"/>
        </w:rPr>
      </w:pPr>
    </w:p>
    <w:p w14:paraId="17F64BC7" w14:textId="381C9F75" w:rsidR="00C466D5" w:rsidRDefault="00C466D5" w:rsidP="007C1383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name of the individual</w:t>
      </w:r>
    </w:p>
    <w:p w14:paraId="449714C3" w14:textId="77777777" w:rsidR="007C1383" w:rsidRDefault="007C1383" w:rsidP="007C1383">
      <w:pPr>
        <w:ind w:left="1080"/>
        <w:rPr>
          <w:rFonts w:asciiTheme="majorHAnsi" w:hAnsiTheme="majorHAnsi" w:cstheme="majorHAnsi"/>
          <w:lang w:val="en-US"/>
        </w:rPr>
      </w:pPr>
    </w:p>
    <w:p w14:paraId="643749F1" w14:textId="4B6D8633" w:rsidR="00C466D5" w:rsidRDefault="00C466D5" w:rsidP="007C1383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 unique identification number, inclu</w:t>
      </w:r>
      <w:r w:rsidR="000351E6">
        <w:rPr>
          <w:rFonts w:asciiTheme="majorHAnsi" w:hAnsiTheme="majorHAnsi" w:cstheme="majorHAnsi"/>
          <w:lang w:val="en-US"/>
        </w:rPr>
        <w:t>ding their health card number or</w:t>
      </w:r>
      <w:r>
        <w:rPr>
          <w:rFonts w:asciiTheme="majorHAnsi" w:hAnsiTheme="majorHAnsi" w:cstheme="majorHAnsi"/>
          <w:lang w:val="en-US"/>
        </w:rPr>
        <w:t xml:space="preserve"> a number assigned by the custodian;</w:t>
      </w:r>
    </w:p>
    <w:p w14:paraId="73045D7F" w14:textId="77777777" w:rsidR="007C1383" w:rsidRDefault="007C1383" w:rsidP="007C1383">
      <w:pPr>
        <w:ind w:left="1080"/>
        <w:rPr>
          <w:rFonts w:asciiTheme="majorHAnsi" w:hAnsiTheme="majorHAnsi" w:cstheme="majorHAnsi"/>
          <w:lang w:val="en-US"/>
        </w:rPr>
      </w:pPr>
    </w:p>
    <w:p w14:paraId="3D1E1D7A" w14:textId="43C229AB" w:rsidR="00C466D5" w:rsidRDefault="00C466D5" w:rsidP="007C1383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name of the person who access</w:t>
      </w:r>
      <w:r w:rsidR="000351E6">
        <w:rPr>
          <w:rFonts w:asciiTheme="majorHAnsi" w:hAnsiTheme="majorHAnsi" w:cstheme="majorHAnsi"/>
          <w:lang w:val="en-US"/>
        </w:rPr>
        <w:t>ed</w:t>
      </w:r>
      <w:r>
        <w:rPr>
          <w:rFonts w:asciiTheme="majorHAnsi" w:hAnsiTheme="majorHAnsi" w:cstheme="majorHAnsi"/>
          <w:lang w:val="en-US"/>
        </w:rPr>
        <w:t xml:space="preserve"> the personal health information;</w:t>
      </w:r>
    </w:p>
    <w:p w14:paraId="0983B71E" w14:textId="77777777" w:rsidR="007C1383" w:rsidRDefault="007C1383" w:rsidP="007C1383">
      <w:pPr>
        <w:ind w:left="1080"/>
        <w:rPr>
          <w:rFonts w:asciiTheme="majorHAnsi" w:hAnsiTheme="majorHAnsi" w:cstheme="majorHAnsi"/>
          <w:lang w:val="en-US"/>
        </w:rPr>
      </w:pPr>
    </w:p>
    <w:p w14:paraId="1B97C784" w14:textId="0AC5687B" w:rsidR="00C466D5" w:rsidRDefault="00C466D5" w:rsidP="007C1383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any additional identification of the personal who access</w:t>
      </w:r>
      <w:r w:rsidR="000351E6">
        <w:rPr>
          <w:rFonts w:asciiTheme="majorHAnsi" w:hAnsiTheme="majorHAnsi" w:cstheme="majorHAnsi"/>
          <w:lang w:val="en-US"/>
        </w:rPr>
        <w:t>ed</w:t>
      </w:r>
      <w:r>
        <w:rPr>
          <w:rFonts w:asciiTheme="majorHAnsi" w:hAnsiTheme="majorHAnsi" w:cstheme="majorHAnsi"/>
          <w:lang w:val="en-US"/>
        </w:rPr>
        <w:t xml:space="preserve"> the information;</w:t>
      </w:r>
    </w:p>
    <w:p w14:paraId="1D14B59E" w14:textId="77777777" w:rsidR="007C1383" w:rsidRDefault="007C1383" w:rsidP="007C1383">
      <w:pPr>
        <w:ind w:left="1080"/>
        <w:rPr>
          <w:rFonts w:asciiTheme="majorHAnsi" w:hAnsiTheme="majorHAnsi" w:cstheme="majorHAnsi"/>
          <w:lang w:val="en-US"/>
        </w:rPr>
      </w:pPr>
    </w:p>
    <w:p w14:paraId="444676E9" w14:textId="77777777" w:rsidR="007C1383" w:rsidRDefault="00C466D5" w:rsidP="007C1383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r w:rsidRPr="007C1383">
        <w:rPr>
          <w:rFonts w:asciiTheme="majorHAnsi" w:hAnsiTheme="majorHAnsi" w:cstheme="majorHAnsi"/>
          <w:lang w:val="en-US"/>
        </w:rPr>
        <w:lastRenderedPageBreak/>
        <w:t>a description of the personal health information accessed or, if this cannot be determined, all possible personal health information that could have been accessed;</w:t>
      </w:r>
    </w:p>
    <w:p w14:paraId="3B0B4E5B" w14:textId="77777777" w:rsidR="007C1383" w:rsidRDefault="007C1383" w:rsidP="007C1383">
      <w:pPr>
        <w:pStyle w:val="ListParagraph"/>
        <w:rPr>
          <w:rFonts w:asciiTheme="majorHAnsi" w:hAnsiTheme="majorHAnsi" w:cstheme="majorHAnsi"/>
          <w:lang w:val="en-US"/>
        </w:rPr>
      </w:pPr>
    </w:p>
    <w:p w14:paraId="11EB5E38" w14:textId="6A80CAF3" w:rsidR="00C466D5" w:rsidRPr="007C1383" w:rsidRDefault="00C466D5" w:rsidP="007C1383">
      <w:pPr>
        <w:numPr>
          <w:ilvl w:val="1"/>
          <w:numId w:val="8"/>
        </w:numPr>
        <w:rPr>
          <w:rFonts w:asciiTheme="majorHAnsi" w:hAnsiTheme="majorHAnsi" w:cstheme="majorHAnsi"/>
          <w:lang w:val="en-US"/>
        </w:rPr>
      </w:pPr>
      <w:proofErr w:type="gramStart"/>
      <w:r w:rsidRPr="007C1383">
        <w:rPr>
          <w:rFonts w:asciiTheme="majorHAnsi" w:hAnsiTheme="majorHAnsi" w:cstheme="majorHAnsi"/>
          <w:lang w:val="en-US"/>
        </w:rPr>
        <w:t>the</w:t>
      </w:r>
      <w:proofErr w:type="gramEnd"/>
      <w:r w:rsidRPr="007C1383">
        <w:rPr>
          <w:rFonts w:asciiTheme="majorHAnsi" w:hAnsiTheme="majorHAnsi" w:cstheme="majorHAnsi"/>
          <w:lang w:val="en-US"/>
        </w:rPr>
        <w:t xml:space="preserve"> date and time the personal health information was accessed or, if this cannot be determine</w:t>
      </w:r>
      <w:r w:rsidR="00AA59F6">
        <w:rPr>
          <w:rFonts w:asciiTheme="majorHAnsi" w:hAnsiTheme="majorHAnsi" w:cstheme="majorHAnsi"/>
          <w:lang w:val="en-US"/>
        </w:rPr>
        <w:t>d</w:t>
      </w:r>
      <w:r w:rsidRPr="007C1383">
        <w:rPr>
          <w:rFonts w:asciiTheme="majorHAnsi" w:hAnsiTheme="majorHAnsi" w:cstheme="majorHAnsi"/>
          <w:lang w:val="en-US"/>
        </w:rPr>
        <w:t>, a range of dates when the personal health information could have been accessed by the person.</w:t>
      </w:r>
    </w:p>
    <w:p w14:paraId="33ADBECF" w14:textId="77777777" w:rsidR="00C466D5" w:rsidRDefault="00C466D5" w:rsidP="00C466D5">
      <w:pPr>
        <w:ind w:left="1080"/>
        <w:rPr>
          <w:rFonts w:asciiTheme="majorHAnsi" w:hAnsiTheme="majorHAnsi" w:cstheme="majorHAnsi"/>
          <w:lang w:val="en-US"/>
        </w:rPr>
      </w:pPr>
    </w:p>
    <w:p w14:paraId="402FD30A" w14:textId="1605369D" w:rsidR="00C466D5" w:rsidRDefault="00C466D5" w:rsidP="007C1383">
      <w:pPr>
        <w:ind w:left="7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information used to update a record of user activity must be maintained for one year after each date of access.</w:t>
      </w:r>
    </w:p>
    <w:p w14:paraId="67D08D68" w14:textId="77777777" w:rsidR="007C1383" w:rsidRDefault="007C1383" w:rsidP="00DE6530">
      <w:pPr>
        <w:autoSpaceDE w:val="0"/>
        <w:autoSpaceDN w:val="0"/>
        <w:adjustRightInd w:val="0"/>
        <w:rPr>
          <w:rFonts w:asciiTheme="majorHAnsi" w:eastAsia="Wingdings-Regular" w:hAnsiTheme="majorHAnsi" w:cstheme="majorHAnsi"/>
          <w:lang w:val="en-US"/>
        </w:rPr>
      </w:pPr>
    </w:p>
    <w:p w14:paraId="5730370F" w14:textId="318C20BC" w:rsidR="00C466D5" w:rsidRPr="00DD384B" w:rsidRDefault="007C1383" w:rsidP="007C1383">
      <w:pPr>
        <w:autoSpaceDE w:val="0"/>
        <w:autoSpaceDN w:val="0"/>
        <w:adjustRightInd w:val="0"/>
        <w:ind w:firstLine="360"/>
        <w:rPr>
          <w:rFonts w:asciiTheme="majorHAnsi" w:eastAsia="Wingdings-Regular" w:hAnsiTheme="majorHAnsi" w:cstheme="majorHAnsi"/>
          <w:lang w:val="en-US"/>
        </w:rPr>
      </w:pPr>
      <w:r>
        <w:rPr>
          <w:rFonts w:asciiTheme="majorHAnsi" w:eastAsia="Wingdings-Regular" w:hAnsiTheme="majorHAnsi" w:cstheme="majorHAnsi"/>
          <w:lang w:val="en-US"/>
        </w:rPr>
        <w:t>[Regulation clause 11</w:t>
      </w:r>
      <w:r w:rsidRPr="007C1383">
        <w:rPr>
          <w:rFonts w:asciiTheme="majorHAnsi" w:eastAsia="Wingdings-Regular" w:hAnsiTheme="majorHAnsi" w:cstheme="majorHAnsi"/>
          <w:lang w:val="en-US"/>
        </w:rPr>
        <w:t>]</w:t>
      </w:r>
    </w:p>
    <w:p w14:paraId="46CDC910" w14:textId="77777777" w:rsidR="007C1383" w:rsidRDefault="007C1383" w:rsidP="007C138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n-US"/>
        </w:rPr>
      </w:pPr>
    </w:p>
    <w:p w14:paraId="001835EA" w14:textId="619EFEB1" w:rsidR="003C7D9E" w:rsidRDefault="0073391D" w:rsidP="003C7D9E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proofErr w:type="gramStart"/>
      <w:r w:rsidRPr="00DD384B">
        <w:rPr>
          <w:rFonts w:asciiTheme="majorHAnsi" w:hAnsiTheme="majorHAnsi" w:cstheme="majorHAnsi"/>
          <w:lang w:val="en-US"/>
        </w:rPr>
        <w:t>d</w:t>
      </w:r>
      <w:r w:rsidR="00A95DA7" w:rsidRPr="00DD384B">
        <w:rPr>
          <w:rFonts w:asciiTheme="majorHAnsi" w:hAnsiTheme="majorHAnsi" w:cstheme="majorHAnsi"/>
          <w:lang w:val="en-US"/>
        </w:rPr>
        <w:t>esignate</w:t>
      </w:r>
      <w:proofErr w:type="gramEnd"/>
      <w:r w:rsidR="00A95DA7" w:rsidRPr="00DD384B">
        <w:rPr>
          <w:rFonts w:asciiTheme="majorHAnsi" w:hAnsiTheme="majorHAnsi" w:cstheme="majorHAnsi"/>
          <w:lang w:val="en-US"/>
        </w:rPr>
        <w:t xml:space="preserve"> </w:t>
      </w:r>
      <w:r w:rsidR="00A95DA7" w:rsidRPr="000D2E7E">
        <w:rPr>
          <w:rFonts w:asciiTheme="majorHAnsi" w:hAnsiTheme="majorHAnsi" w:cstheme="majorHAnsi"/>
          <w:lang w:val="en-US"/>
        </w:rPr>
        <w:t xml:space="preserve">a </w:t>
      </w:r>
      <w:r w:rsidR="000D2E7E" w:rsidRPr="000D2E7E">
        <w:rPr>
          <w:rFonts w:asciiTheme="majorHAnsi" w:hAnsiTheme="majorHAnsi" w:cstheme="majorHAnsi"/>
          <w:b/>
          <w:i/>
          <w:lang w:val="en-US"/>
        </w:rPr>
        <w:t>PHIA</w:t>
      </w:r>
      <w:r w:rsidR="000D2E7E">
        <w:rPr>
          <w:rFonts w:asciiTheme="majorHAnsi" w:hAnsiTheme="majorHAnsi" w:cstheme="majorHAnsi"/>
          <w:lang w:val="en-US"/>
        </w:rPr>
        <w:t xml:space="preserve"> </w:t>
      </w:r>
      <w:r w:rsidR="00A95DA7" w:rsidRPr="000D2E7E">
        <w:rPr>
          <w:rFonts w:asciiTheme="majorHAnsi" w:hAnsiTheme="majorHAnsi" w:cstheme="majorHAnsi"/>
          <w:b/>
          <w:lang w:val="en-US"/>
        </w:rPr>
        <w:t>contact person</w:t>
      </w:r>
      <w:r w:rsidR="00A95DA7" w:rsidRPr="00DD384B">
        <w:rPr>
          <w:rFonts w:asciiTheme="majorHAnsi" w:hAnsiTheme="majorHAnsi" w:cstheme="majorHAnsi"/>
          <w:lang w:val="en-US"/>
        </w:rPr>
        <w:t xml:space="preserve"> to perform the functions set out in the </w:t>
      </w:r>
      <w:r w:rsidR="00A95DA7" w:rsidRPr="00DD384B">
        <w:rPr>
          <w:rFonts w:asciiTheme="majorHAnsi" w:hAnsiTheme="majorHAnsi" w:cstheme="majorHAnsi"/>
          <w:i/>
          <w:lang w:val="en-US"/>
        </w:rPr>
        <w:t>Act</w:t>
      </w:r>
      <w:r w:rsidR="000A2328" w:rsidRPr="00DD384B">
        <w:rPr>
          <w:rFonts w:asciiTheme="majorHAnsi" w:hAnsiTheme="majorHAnsi" w:cstheme="majorHAnsi"/>
          <w:i/>
          <w:lang w:val="en-US"/>
        </w:rPr>
        <w:t xml:space="preserve"> </w:t>
      </w:r>
      <w:r w:rsidR="000A2328" w:rsidRPr="00DD384B">
        <w:rPr>
          <w:rFonts w:asciiTheme="majorHAnsi" w:hAnsiTheme="majorHAnsi" w:cstheme="majorHAnsi"/>
          <w:lang w:val="en-US"/>
        </w:rPr>
        <w:t xml:space="preserve">(s. 67). </w:t>
      </w:r>
      <w:r w:rsidR="003C7D9E" w:rsidRPr="00DD384B">
        <w:rPr>
          <w:rFonts w:asciiTheme="majorHAnsi" w:hAnsiTheme="majorHAnsi" w:cstheme="majorHAnsi"/>
          <w:lang w:val="en-US"/>
        </w:rPr>
        <w:t>[</w:t>
      </w:r>
      <w:r w:rsidR="00367513" w:rsidRPr="00DD384B">
        <w:rPr>
          <w:rFonts w:asciiTheme="majorHAnsi" w:hAnsiTheme="majorHAnsi" w:cstheme="majorHAnsi"/>
          <w:lang w:val="en-US"/>
        </w:rPr>
        <w:t xml:space="preserve">Note: </w:t>
      </w:r>
      <w:r w:rsidR="000A2328" w:rsidRPr="00DD384B">
        <w:rPr>
          <w:rFonts w:asciiTheme="majorHAnsi" w:hAnsiTheme="majorHAnsi" w:cstheme="majorHAnsi"/>
          <w:lang w:val="en-US"/>
        </w:rPr>
        <w:t xml:space="preserve">If the custodian is a </w:t>
      </w:r>
      <w:r w:rsidR="00A95DA7" w:rsidRPr="00DD384B">
        <w:rPr>
          <w:rFonts w:asciiTheme="majorHAnsi" w:hAnsiTheme="majorHAnsi" w:cstheme="majorHAnsi"/>
          <w:lang w:val="en-US"/>
        </w:rPr>
        <w:t>“natural person” (</w:t>
      </w:r>
      <w:r w:rsidR="00367513" w:rsidRPr="00DD384B">
        <w:rPr>
          <w:rFonts w:asciiTheme="majorHAnsi" w:hAnsiTheme="majorHAnsi" w:cstheme="majorHAnsi"/>
          <w:lang w:val="en-US"/>
        </w:rPr>
        <w:t xml:space="preserve">i.e. </w:t>
      </w:r>
      <w:r w:rsidR="00A95DA7" w:rsidRPr="00DD384B">
        <w:rPr>
          <w:rFonts w:asciiTheme="majorHAnsi" w:hAnsiTheme="majorHAnsi" w:cstheme="majorHAnsi"/>
          <w:lang w:val="en-US"/>
        </w:rPr>
        <w:t>an individual health care</w:t>
      </w:r>
      <w:r w:rsidR="000A2328" w:rsidRPr="00DD384B">
        <w:rPr>
          <w:rFonts w:asciiTheme="majorHAnsi" w:hAnsiTheme="majorHAnsi" w:cstheme="majorHAnsi"/>
          <w:lang w:val="en-US"/>
        </w:rPr>
        <w:t xml:space="preserve"> </w:t>
      </w:r>
      <w:r w:rsidR="00367513" w:rsidRPr="00DD384B">
        <w:rPr>
          <w:rFonts w:asciiTheme="majorHAnsi" w:hAnsiTheme="majorHAnsi" w:cstheme="majorHAnsi"/>
          <w:lang w:val="en-US"/>
        </w:rPr>
        <w:t>pract</w:t>
      </w:r>
      <w:r w:rsidR="00F64206" w:rsidRPr="00DD384B">
        <w:rPr>
          <w:rFonts w:asciiTheme="majorHAnsi" w:hAnsiTheme="majorHAnsi" w:cstheme="majorHAnsi"/>
          <w:lang w:val="en-US"/>
        </w:rPr>
        <w:t>itioner), the practitioner may</w:t>
      </w:r>
      <w:r w:rsidR="00367513" w:rsidRPr="00DD384B">
        <w:rPr>
          <w:rFonts w:asciiTheme="majorHAnsi" w:hAnsiTheme="majorHAnsi" w:cstheme="majorHAnsi"/>
          <w:lang w:val="en-US"/>
        </w:rPr>
        <w:t xml:space="preserve"> act as the contact person</w:t>
      </w:r>
      <w:r w:rsidR="003C7D9E" w:rsidRPr="00DD384B">
        <w:rPr>
          <w:rFonts w:asciiTheme="majorHAnsi" w:hAnsiTheme="majorHAnsi" w:cstheme="majorHAnsi"/>
          <w:lang w:val="en-US"/>
        </w:rPr>
        <w:t xml:space="preserve">]; </w:t>
      </w:r>
    </w:p>
    <w:p w14:paraId="4DF02FFC" w14:textId="77777777" w:rsidR="00295B76" w:rsidRDefault="00295B76" w:rsidP="00295B76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n-US"/>
        </w:rPr>
      </w:pPr>
    </w:p>
    <w:p w14:paraId="639C9FC2" w14:textId="5E604223" w:rsidR="00295B76" w:rsidRDefault="000351E6" w:rsidP="003C7D9E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</w:t>
      </w:r>
      <w:r w:rsidR="00295B76">
        <w:rPr>
          <w:rFonts w:asciiTheme="majorHAnsi" w:hAnsiTheme="majorHAnsi" w:cstheme="majorHAnsi"/>
          <w:lang w:val="en-US"/>
        </w:rPr>
        <w:t xml:space="preserve">mplement </w:t>
      </w:r>
      <w:r w:rsidR="00295B76" w:rsidRPr="00295B76">
        <w:rPr>
          <w:rFonts w:asciiTheme="majorHAnsi" w:hAnsiTheme="majorHAnsi" w:cstheme="majorHAnsi"/>
          <w:b/>
          <w:lang w:val="en-US"/>
        </w:rPr>
        <w:t>additional safeguards</w:t>
      </w:r>
      <w:r w:rsidR="00295B76">
        <w:rPr>
          <w:rFonts w:asciiTheme="majorHAnsi" w:hAnsiTheme="majorHAnsi" w:cstheme="majorHAnsi"/>
          <w:lang w:val="en-US"/>
        </w:rPr>
        <w:t xml:space="preserve"> for personal health information held in an electronic information system, including:</w:t>
      </w:r>
    </w:p>
    <w:p w14:paraId="094656D5" w14:textId="77777777" w:rsidR="00295B76" w:rsidRDefault="00295B76" w:rsidP="00295B76">
      <w:pPr>
        <w:pStyle w:val="ListParagraph"/>
        <w:rPr>
          <w:rFonts w:asciiTheme="majorHAnsi" w:hAnsiTheme="majorHAnsi" w:cstheme="majorHAnsi"/>
          <w:lang w:val="en-US"/>
        </w:rPr>
      </w:pPr>
    </w:p>
    <w:p w14:paraId="139FBDD9" w14:textId="765E0280" w:rsidR="00295B76" w:rsidRDefault="00183009" w:rsidP="00295B76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</w:t>
      </w:r>
      <w:r w:rsidR="00295B76">
        <w:rPr>
          <w:rFonts w:asciiTheme="majorHAnsi" w:hAnsiTheme="majorHAnsi" w:cstheme="majorHAnsi"/>
          <w:lang w:val="en-US"/>
        </w:rPr>
        <w:t>rotection of network infrastructure;</w:t>
      </w:r>
    </w:p>
    <w:p w14:paraId="1CF58442" w14:textId="77777777" w:rsidR="00183009" w:rsidRDefault="00183009" w:rsidP="00183009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lang w:val="en-US"/>
        </w:rPr>
      </w:pPr>
    </w:p>
    <w:p w14:paraId="4ACD970D" w14:textId="0E3E9DDF" w:rsidR="00295B76" w:rsidRDefault="00183009" w:rsidP="00295B76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</w:t>
      </w:r>
      <w:r w:rsidR="00295B76">
        <w:rPr>
          <w:rFonts w:asciiTheme="majorHAnsi" w:hAnsiTheme="majorHAnsi" w:cstheme="majorHAnsi"/>
          <w:lang w:val="en-US"/>
        </w:rPr>
        <w:t>rotection of hardware and its supporting operating systems to ensure that the system functions consistently and only those authorized have access to the system; and</w:t>
      </w:r>
    </w:p>
    <w:p w14:paraId="11DFA648" w14:textId="77777777" w:rsidR="00183009" w:rsidRDefault="00183009" w:rsidP="00183009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lang w:val="en-US"/>
        </w:rPr>
      </w:pPr>
    </w:p>
    <w:p w14:paraId="03EEC485" w14:textId="6288B400" w:rsidR="00D03B9E" w:rsidRDefault="00183009" w:rsidP="00D03B9E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0351E6">
        <w:rPr>
          <w:rStyle w:val="Emphasis"/>
          <w:rFonts w:asciiTheme="majorHAnsi" w:hAnsiTheme="majorHAnsi"/>
          <w:i w:val="0"/>
        </w:rPr>
        <w:t>p</w:t>
      </w:r>
      <w:r w:rsidR="00295B76" w:rsidRPr="000351E6">
        <w:rPr>
          <w:rStyle w:val="Emphasis"/>
          <w:rFonts w:asciiTheme="majorHAnsi" w:hAnsiTheme="majorHAnsi"/>
          <w:i w:val="0"/>
        </w:rPr>
        <w:t>rotection</w:t>
      </w:r>
      <w:r w:rsidR="00295B76" w:rsidRPr="000351E6">
        <w:rPr>
          <w:rFonts w:asciiTheme="majorHAnsi" w:hAnsiTheme="majorHAnsi" w:cstheme="majorHAnsi"/>
          <w:i/>
          <w:lang w:val="en-US"/>
        </w:rPr>
        <w:t xml:space="preserve"> </w:t>
      </w:r>
      <w:r w:rsidR="00295B76">
        <w:rPr>
          <w:rFonts w:asciiTheme="majorHAnsi" w:hAnsiTheme="majorHAnsi" w:cstheme="majorHAnsi"/>
          <w:lang w:val="en-US"/>
        </w:rPr>
        <w:t xml:space="preserve">of the system’s software, </w:t>
      </w:r>
      <w:r w:rsidR="00D03B9E">
        <w:rPr>
          <w:rFonts w:asciiTheme="majorHAnsi" w:hAnsiTheme="majorHAnsi" w:cstheme="majorHAnsi"/>
          <w:lang w:val="en-US"/>
        </w:rPr>
        <w:t>including the way it authenticates users’ identity.</w:t>
      </w:r>
    </w:p>
    <w:p w14:paraId="69C97F61" w14:textId="77777777" w:rsidR="00D03B9E" w:rsidRDefault="00D03B9E" w:rsidP="00D03B9E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lang w:val="en-US"/>
        </w:rPr>
      </w:pPr>
    </w:p>
    <w:p w14:paraId="4DB3F092" w14:textId="77777777" w:rsidR="00D03B9E" w:rsidRDefault="00D03B9E" w:rsidP="00183009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lang w:val="en-US"/>
        </w:rPr>
      </w:pPr>
      <w:r w:rsidRPr="00D03B9E">
        <w:rPr>
          <w:rFonts w:asciiTheme="majorHAnsi" w:hAnsiTheme="majorHAnsi" w:cstheme="majorHAnsi"/>
          <w:lang w:val="en-US"/>
        </w:rPr>
        <w:t>In addition, custodians must:</w:t>
      </w:r>
    </w:p>
    <w:p w14:paraId="0A15FD72" w14:textId="77777777" w:rsidR="00D03B9E" w:rsidRDefault="00D03B9E" w:rsidP="00D03B9E">
      <w:pPr>
        <w:pStyle w:val="ListParagraph"/>
        <w:rPr>
          <w:rFonts w:asciiTheme="majorHAnsi" w:hAnsiTheme="majorHAnsi" w:cstheme="majorHAnsi"/>
          <w:lang w:val="en-US"/>
        </w:rPr>
      </w:pPr>
    </w:p>
    <w:p w14:paraId="54071918" w14:textId="33C0B7DE" w:rsidR="00D03B9E" w:rsidRDefault="00D03B9E" w:rsidP="00D03B9E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D03B9E">
        <w:rPr>
          <w:rFonts w:asciiTheme="majorHAnsi" w:hAnsiTheme="majorHAnsi" w:cstheme="majorHAnsi"/>
          <w:lang w:val="en-US"/>
        </w:rPr>
        <w:t>create and main</w:t>
      </w:r>
      <w:r>
        <w:rPr>
          <w:rFonts w:asciiTheme="majorHAnsi" w:hAnsiTheme="majorHAnsi" w:cstheme="majorHAnsi"/>
          <w:lang w:val="en-US"/>
        </w:rPr>
        <w:t xml:space="preserve">tain written policies to support and </w:t>
      </w:r>
      <w:r w:rsidR="00183009">
        <w:rPr>
          <w:rFonts w:asciiTheme="majorHAnsi" w:hAnsiTheme="majorHAnsi" w:cstheme="majorHAnsi"/>
          <w:lang w:val="en-US"/>
        </w:rPr>
        <w:t>enforce</w:t>
      </w:r>
      <w:r>
        <w:rPr>
          <w:rFonts w:asciiTheme="majorHAnsi" w:hAnsiTheme="majorHAnsi" w:cstheme="majorHAnsi"/>
          <w:lang w:val="en-US"/>
        </w:rPr>
        <w:t xml:space="preserve"> the safeguard listed above;</w:t>
      </w:r>
      <w:r w:rsidR="000351E6">
        <w:rPr>
          <w:rFonts w:asciiTheme="majorHAnsi" w:hAnsiTheme="majorHAnsi" w:cstheme="majorHAnsi"/>
          <w:lang w:val="en-US"/>
        </w:rPr>
        <w:t xml:space="preserve"> and</w:t>
      </w:r>
    </w:p>
    <w:p w14:paraId="252F733E" w14:textId="77777777" w:rsidR="00D03B9E" w:rsidRDefault="00D03B9E" w:rsidP="00D03B9E">
      <w:pPr>
        <w:pStyle w:val="ListParagraph"/>
        <w:rPr>
          <w:rFonts w:asciiTheme="majorHAnsi" w:hAnsiTheme="majorHAnsi" w:cstheme="majorHAnsi"/>
          <w:lang w:val="en-US"/>
        </w:rPr>
      </w:pPr>
    </w:p>
    <w:p w14:paraId="08A8C0BB" w14:textId="0CB33DF9" w:rsidR="00D03B9E" w:rsidRDefault="00D03B9E" w:rsidP="00D03B9E">
      <w:pPr>
        <w:numPr>
          <w:ilvl w:val="1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proofErr w:type="gramStart"/>
      <w:r>
        <w:rPr>
          <w:rFonts w:asciiTheme="majorHAnsi" w:hAnsiTheme="majorHAnsi" w:cstheme="majorHAnsi"/>
          <w:lang w:val="en-US"/>
        </w:rPr>
        <w:t>create</w:t>
      </w:r>
      <w:proofErr w:type="gramEnd"/>
      <w:r>
        <w:rPr>
          <w:rFonts w:asciiTheme="majorHAnsi" w:hAnsiTheme="majorHAnsi" w:cstheme="majorHAnsi"/>
          <w:lang w:val="en-US"/>
        </w:rPr>
        <w:t xml:space="preserve"> and maintain a list of every security breach likely to pose a risk to an individual’s personal health information, including details of all corrective action taken to diminish future breaches.</w:t>
      </w:r>
    </w:p>
    <w:p w14:paraId="41344120" w14:textId="77777777" w:rsidR="00D03B9E" w:rsidRPr="00D03B9E" w:rsidRDefault="00D03B9E" w:rsidP="00183009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53933C63" w14:textId="2992978C" w:rsidR="00D03B9E" w:rsidRDefault="00D03B9E" w:rsidP="00D03B9E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[Regulation clause 10]</w:t>
      </w:r>
    </w:p>
    <w:p w14:paraId="5D45F5EB" w14:textId="77777777" w:rsidR="00295B76" w:rsidRPr="00DD384B" w:rsidRDefault="00295B76" w:rsidP="00D03B9E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n-US"/>
        </w:rPr>
      </w:pPr>
    </w:p>
    <w:p w14:paraId="0CE877ED" w14:textId="4983E870" w:rsidR="000A2328" w:rsidRPr="00DD384B" w:rsidRDefault="000A2328" w:rsidP="00295B76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D4D7618" w14:textId="77777777" w:rsidR="00F64206" w:rsidRPr="00DD384B" w:rsidRDefault="00F64206" w:rsidP="00F64206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n-US"/>
        </w:rPr>
      </w:pPr>
    </w:p>
    <w:p w14:paraId="2FB85CFF" w14:textId="138B5731" w:rsidR="00B520B7" w:rsidRPr="00DD384B" w:rsidRDefault="00B520B7" w:rsidP="00B520B7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proofErr w:type="gramStart"/>
      <w:r w:rsidRPr="00DD384B">
        <w:rPr>
          <w:rFonts w:asciiTheme="majorHAnsi" w:hAnsiTheme="majorHAnsi" w:cstheme="majorHAnsi"/>
          <w:lang w:val="en-US"/>
        </w:rPr>
        <w:lastRenderedPageBreak/>
        <w:t>prepare</w:t>
      </w:r>
      <w:proofErr w:type="gramEnd"/>
      <w:r w:rsidRPr="00DD384B">
        <w:rPr>
          <w:rFonts w:asciiTheme="majorHAnsi" w:hAnsiTheme="majorHAnsi" w:cstheme="majorHAnsi"/>
          <w:lang w:val="en-US"/>
        </w:rPr>
        <w:t xml:space="preserve"> and make available a written statement about the custodian’s i</w:t>
      </w:r>
      <w:r w:rsidR="003C7D9E" w:rsidRPr="00DD384B">
        <w:rPr>
          <w:rFonts w:asciiTheme="majorHAnsi" w:hAnsiTheme="majorHAnsi" w:cstheme="majorHAnsi"/>
          <w:lang w:val="en-US"/>
        </w:rPr>
        <w:t>nformation practices</w:t>
      </w:r>
      <w:r w:rsidR="0051615A" w:rsidRPr="00DD384B">
        <w:rPr>
          <w:rFonts w:asciiTheme="majorHAnsi" w:hAnsiTheme="majorHAnsi" w:cstheme="majorHAnsi"/>
          <w:lang w:val="en-US"/>
        </w:rPr>
        <w:t>, how to reach the contact person, how to request access and correction of the individual’s record, and how to make a complaint</w:t>
      </w:r>
      <w:r w:rsidR="00220A47" w:rsidRPr="00DD384B">
        <w:rPr>
          <w:rFonts w:asciiTheme="majorHAnsi" w:hAnsiTheme="majorHAnsi" w:cstheme="majorHAnsi"/>
          <w:lang w:val="en-US"/>
        </w:rPr>
        <w:t xml:space="preserve"> </w:t>
      </w:r>
      <w:r w:rsidR="00220A47" w:rsidRPr="000D2E7E">
        <w:rPr>
          <w:rFonts w:asciiTheme="majorHAnsi" w:hAnsiTheme="majorHAnsi" w:cstheme="majorHAnsi"/>
          <w:lang w:val="en-US"/>
        </w:rPr>
        <w:t>[</w:t>
      </w:r>
      <w:r w:rsidR="00220A47" w:rsidRPr="000D2E7E">
        <w:rPr>
          <w:rFonts w:asciiTheme="majorHAnsi" w:hAnsiTheme="majorHAnsi" w:cstheme="majorHAnsi"/>
          <w:b/>
          <w:lang w:val="en-US"/>
        </w:rPr>
        <w:t>“</w:t>
      </w:r>
      <w:r w:rsidR="00653948" w:rsidRPr="000D2E7E">
        <w:rPr>
          <w:rFonts w:asciiTheme="majorHAnsi" w:hAnsiTheme="majorHAnsi" w:cstheme="majorHAnsi"/>
          <w:b/>
          <w:lang w:val="en-US"/>
        </w:rPr>
        <w:t>written privacy statement</w:t>
      </w:r>
      <w:r w:rsidR="00220A47" w:rsidRPr="000D2E7E">
        <w:rPr>
          <w:rFonts w:asciiTheme="majorHAnsi" w:hAnsiTheme="majorHAnsi" w:cstheme="majorHAnsi"/>
          <w:b/>
          <w:lang w:val="en-US"/>
        </w:rPr>
        <w:t>”</w:t>
      </w:r>
      <w:r w:rsidR="00220A47" w:rsidRPr="000D2E7E">
        <w:rPr>
          <w:rFonts w:asciiTheme="majorHAnsi" w:hAnsiTheme="majorHAnsi" w:cstheme="majorHAnsi"/>
          <w:lang w:val="en-US"/>
        </w:rPr>
        <w:t>]</w:t>
      </w:r>
      <w:r w:rsidR="0051615A" w:rsidRPr="000D2E7E">
        <w:rPr>
          <w:rFonts w:asciiTheme="majorHAnsi" w:hAnsiTheme="majorHAnsi" w:cstheme="majorHAnsi"/>
          <w:lang w:val="en-US"/>
        </w:rPr>
        <w:t xml:space="preserve"> </w:t>
      </w:r>
      <w:r w:rsidR="00295B76">
        <w:rPr>
          <w:rFonts w:asciiTheme="majorHAnsi" w:hAnsiTheme="majorHAnsi" w:cstheme="majorHAnsi"/>
          <w:lang w:val="en-US"/>
        </w:rPr>
        <w:t>(s. 68).</w:t>
      </w:r>
    </w:p>
    <w:p w14:paraId="4ED47A27" w14:textId="77777777" w:rsidR="00F64206" w:rsidRPr="00DD384B" w:rsidRDefault="00F64206" w:rsidP="00F64206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lang w:val="en-US"/>
        </w:rPr>
      </w:pPr>
    </w:p>
    <w:p w14:paraId="2081EC2B" w14:textId="77777777" w:rsidR="000D2E7E" w:rsidRDefault="000D2E7E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85F0A00" w14:textId="5BDB8F27" w:rsidR="000A2328" w:rsidRDefault="000D2E7E" w:rsidP="00A95DA7">
      <w:pPr>
        <w:autoSpaceDE w:val="0"/>
        <w:autoSpaceDN w:val="0"/>
        <w:adjustRightInd w:val="0"/>
        <w:rPr>
          <w:rFonts w:asciiTheme="majorHAnsi" w:hAnsiTheme="majorHAnsi" w:cstheme="majorHAnsi"/>
          <w:b/>
          <w:lang w:val="en-US"/>
        </w:rPr>
      </w:pPr>
      <w:r w:rsidRPr="007B2872">
        <w:rPr>
          <w:rFonts w:asciiTheme="majorHAnsi" w:hAnsiTheme="majorHAnsi" w:cstheme="majorHAnsi"/>
          <w:b/>
          <w:lang w:val="en-US"/>
        </w:rPr>
        <w:t xml:space="preserve">Templates for the following are available in the </w:t>
      </w:r>
      <w:r w:rsidRPr="007B2872">
        <w:rPr>
          <w:rFonts w:asciiTheme="majorHAnsi" w:hAnsiTheme="majorHAnsi" w:cstheme="majorHAnsi"/>
          <w:b/>
          <w:u w:val="single"/>
          <w:lang w:val="en-US"/>
        </w:rPr>
        <w:t>Toolkit for Custodians</w:t>
      </w:r>
      <w:r w:rsidRPr="007B2872">
        <w:rPr>
          <w:rFonts w:asciiTheme="majorHAnsi" w:hAnsiTheme="majorHAnsi" w:cstheme="majorHAnsi"/>
          <w:b/>
          <w:lang w:val="en-US"/>
        </w:rPr>
        <w:t>:</w:t>
      </w:r>
    </w:p>
    <w:p w14:paraId="59420B4C" w14:textId="77777777" w:rsidR="007B2872" w:rsidRPr="007B2872" w:rsidRDefault="007B2872" w:rsidP="00A95DA7">
      <w:pPr>
        <w:autoSpaceDE w:val="0"/>
        <w:autoSpaceDN w:val="0"/>
        <w:adjustRightInd w:val="0"/>
        <w:rPr>
          <w:rFonts w:asciiTheme="majorHAnsi" w:hAnsiTheme="majorHAnsi" w:cstheme="majorHAnsi"/>
          <w:b/>
          <w:lang w:val="en-US"/>
        </w:rPr>
      </w:pPr>
    </w:p>
    <w:p w14:paraId="2B9DB2A8" w14:textId="4F7ED9B5" w:rsidR="000D2E7E" w:rsidRPr="007B2872" w:rsidRDefault="000D2E7E" w:rsidP="007B28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7B2872">
        <w:rPr>
          <w:rFonts w:asciiTheme="majorHAnsi" w:hAnsiTheme="majorHAnsi" w:cstheme="majorHAnsi"/>
          <w:lang w:val="en-US"/>
        </w:rPr>
        <w:t>Notice of Purposes</w:t>
      </w:r>
    </w:p>
    <w:p w14:paraId="29685AB3" w14:textId="77777777" w:rsidR="000D2E7E" w:rsidRPr="007B2872" w:rsidRDefault="000D2E7E" w:rsidP="007B28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7B2872">
        <w:rPr>
          <w:rFonts w:asciiTheme="majorHAnsi" w:hAnsiTheme="majorHAnsi" w:cstheme="majorHAnsi"/>
          <w:lang w:val="en-US"/>
        </w:rPr>
        <w:t>Retention and Destruction Schedule</w:t>
      </w:r>
    </w:p>
    <w:p w14:paraId="334DECB6" w14:textId="236C3E6D" w:rsidR="000D2E7E" w:rsidRPr="007B2872" w:rsidRDefault="000D2E7E" w:rsidP="007B28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7B2872">
        <w:rPr>
          <w:rFonts w:asciiTheme="majorHAnsi" w:hAnsiTheme="majorHAnsi" w:cstheme="majorHAnsi"/>
          <w:lang w:val="en-US"/>
        </w:rPr>
        <w:t>Complaints Policy</w:t>
      </w:r>
    </w:p>
    <w:p w14:paraId="17C80E8A" w14:textId="0AA39452" w:rsidR="000D2E7E" w:rsidRPr="007B2872" w:rsidRDefault="000D2E7E" w:rsidP="007B28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7B2872">
        <w:rPr>
          <w:rFonts w:asciiTheme="majorHAnsi" w:hAnsiTheme="majorHAnsi" w:cstheme="majorHAnsi"/>
          <w:lang w:val="en-US"/>
        </w:rPr>
        <w:t>Written Privacy Statement</w:t>
      </w:r>
    </w:p>
    <w:p w14:paraId="110FA6E2" w14:textId="77777777" w:rsidR="000D2E7E" w:rsidRPr="00DD384B" w:rsidRDefault="000D2E7E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010F880E" w14:textId="77777777" w:rsidR="00374E61" w:rsidRPr="00DD384B" w:rsidRDefault="00374E61" w:rsidP="00A95DA7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BE343B2" w14:textId="3887C255" w:rsidR="006E295A" w:rsidRPr="007C4798" w:rsidRDefault="006E295A" w:rsidP="006E295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For more information about </w:t>
      </w:r>
      <w:r w:rsidR="0077399B" w:rsidRPr="00DD384B">
        <w:rPr>
          <w:rFonts w:asciiTheme="majorHAnsi" w:hAnsiTheme="majorHAnsi" w:cstheme="majorHAnsi"/>
          <w:lang w:val="en-US"/>
        </w:rPr>
        <w:t xml:space="preserve">your responsibilities under </w:t>
      </w:r>
      <w:r w:rsidRPr="00DD384B">
        <w:rPr>
          <w:rFonts w:asciiTheme="majorHAnsi" w:hAnsiTheme="majorHAnsi" w:cstheme="majorHAnsi"/>
          <w:lang w:val="en-US"/>
        </w:rPr>
        <w:t xml:space="preserve">the </w:t>
      </w:r>
      <w:r w:rsidRPr="00DD384B">
        <w:rPr>
          <w:rFonts w:asciiTheme="majorHAnsi" w:hAnsiTheme="majorHAnsi" w:cstheme="majorHAnsi"/>
          <w:i/>
          <w:lang w:val="en-US"/>
        </w:rPr>
        <w:t>Personal Health Information Act</w:t>
      </w:r>
      <w:r w:rsidR="00EE5EDF" w:rsidRPr="00DD384B">
        <w:rPr>
          <w:rFonts w:asciiTheme="majorHAnsi" w:hAnsiTheme="majorHAnsi" w:cstheme="majorHAnsi"/>
          <w:i/>
          <w:lang w:val="en-US"/>
        </w:rPr>
        <w:t xml:space="preserve"> </w:t>
      </w:r>
      <w:r w:rsidRPr="00DD384B">
        <w:rPr>
          <w:rFonts w:asciiTheme="majorHAnsi" w:hAnsiTheme="majorHAnsi" w:cstheme="majorHAnsi"/>
          <w:lang w:val="en-US"/>
        </w:rPr>
        <w:t xml:space="preserve">please consult the </w:t>
      </w:r>
      <w:r w:rsidRPr="00CE774E">
        <w:rPr>
          <w:rFonts w:asciiTheme="majorHAnsi" w:hAnsiTheme="majorHAnsi" w:cstheme="majorHAnsi"/>
          <w:i/>
          <w:lang w:val="en-US"/>
        </w:rPr>
        <w:t>Personal Health Information Act</w:t>
      </w:r>
      <w:r w:rsidR="00EE5EDF" w:rsidRPr="00CE774E">
        <w:rPr>
          <w:rFonts w:asciiTheme="majorHAnsi" w:hAnsiTheme="majorHAnsi" w:cstheme="majorHAnsi"/>
          <w:i/>
          <w:lang w:val="en-US"/>
        </w:rPr>
        <w:t xml:space="preserve"> </w:t>
      </w:r>
      <w:r w:rsidRPr="00CE774E">
        <w:rPr>
          <w:rFonts w:asciiTheme="majorHAnsi" w:hAnsiTheme="majorHAnsi" w:cstheme="majorHAnsi"/>
          <w:lang w:val="en-US"/>
        </w:rPr>
        <w:t xml:space="preserve">Toolkit </w:t>
      </w:r>
      <w:r w:rsidR="00653948" w:rsidRPr="00CE774E">
        <w:rPr>
          <w:rFonts w:asciiTheme="majorHAnsi" w:hAnsiTheme="majorHAnsi" w:cstheme="majorHAnsi"/>
          <w:lang w:val="en-US"/>
        </w:rPr>
        <w:t xml:space="preserve">for </w:t>
      </w:r>
      <w:r w:rsidR="00653948" w:rsidRPr="00DD384B">
        <w:rPr>
          <w:rFonts w:asciiTheme="majorHAnsi" w:hAnsiTheme="majorHAnsi" w:cstheme="majorHAnsi"/>
          <w:lang w:val="en-US"/>
        </w:rPr>
        <w:t xml:space="preserve">Custodians </w:t>
      </w:r>
      <w:r w:rsidRPr="00DD384B">
        <w:rPr>
          <w:rFonts w:asciiTheme="majorHAnsi" w:hAnsiTheme="majorHAnsi" w:cstheme="majorHAnsi"/>
          <w:lang w:val="en-US"/>
        </w:rPr>
        <w:t xml:space="preserve">available </w:t>
      </w:r>
      <w:r w:rsidRPr="007C4798">
        <w:rPr>
          <w:rFonts w:asciiTheme="majorHAnsi" w:hAnsiTheme="majorHAnsi" w:cstheme="majorHAnsi"/>
          <w:lang w:val="en-US"/>
        </w:rPr>
        <w:t>at</w:t>
      </w:r>
      <w:r w:rsidR="007C4798" w:rsidRPr="007C4798">
        <w:rPr>
          <w:rFonts w:asciiTheme="majorHAnsi" w:hAnsiTheme="majorHAnsi" w:cstheme="majorHAnsi"/>
        </w:rPr>
        <w:t xml:space="preserve"> </w:t>
      </w:r>
      <w:hyperlink r:id="rId9" w:history="1">
        <w:r w:rsidR="007C4798" w:rsidRPr="007C4798">
          <w:rPr>
            <w:rStyle w:val="Hyperlink"/>
            <w:rFonts w:asciiTheme="majorHAnsi" w:hAnsiTheme="majorHAnsi" w:cstheme="majorHAnsi"/>
          </w:rPr>
          <w:t>www.novascotia.ca/DHW/PHIA</w:t>
        </w:r>
      </w:hyperlink>
      <w:r w:rsidR="007C4798" w:rsidRPr="007C4798">
        <w:rPr>
          <w:rFonts w:asciiTheme="majorHAnsi" w:hAnsiTheme="majorHAnsi" w:cstheme="majorHAnsi"/>
        </w:rPr>
        <w:t xml:space="preserve"> </w:t>
      </w:r>
      <w:r w:rsidRPr="007C4798">
        <w:rPr>
          <w:rFonts w:asciiTheme="majorHAnsi" w:hAnsiTheme="majorHAnsi" w:cstheme="majorHAnsi"/>
          <w:lang w:val="en-US"/>
        </w:rPr>
        <w:t>.</w:t>
      </w:r>
    </w:p>
    <w:p w14:paraId="68A8EFDC" w14:textId="77777777" w:rsidR="006E295A" w:rsidRPr="00DD384B" w:rsidRDefault="006E295A" w:rsidP="006E295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14:paraId="3406BB51" w14:textId="31A7AE22" w:rsidR="00A95DA7" w:rsidRPr="00DD384B" w:rsidRDefault="006E295A" w:rsidP="006E295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lang w:val="en-US"/>
        </w:rPr>
      </w:pPr>
      <w:r w:rsidRPr="00DD384B">
        <w:rPr>
          <w:rFonts w:asciiTheme="majorHAnsi" w:hAnsiTheme="majorHAnsi" w:cstheme="majorHAnsi"/>
          <w:lang w:val="en-US"/>
        </w:rPr>
        <w:t xml:space="preserve">You may also contact the Department of Health and Wellness Privacy Office at </w:t>
      </w:r>
      <w:hyperlink r:id="rId10" w:history="1">
        <w:r w:rsidRPr="00DD384B">
          <w:rPr>
            <w:rStyle w:val="Hyperlink"/>
            <w:rFonts w:asciiTheme="majorHAnsi" w:hAnsiTheme="majorHAnsi" w:cstheme="majorHAnsi"/>
            <w:lang w:val="en-US"/>
          </w:rPr>
          <w:t>phia@gov.ns.ca</w:t>
        </w:r>
      </w:hyperlink>
      <w:r w:rsidR="0077399B" w:rsidRPr="00DD384B">
        <w:rPr>
          <w:rFonts w:asciiTheme="majorHAnsi" w:hAnsiTheme="majorHAnsi" w:cstheme="majorHAnsi"/>
          <w:lang w:val="en-US"/>
        </w:rPr>
        <w:t>, by calling 902-424-</w:t>
      </w:r>
      <w:r w:rsidR="00614A4E" w:rsidRPr="00DD384B">
        <w:rPr>
          <w:rFonts w:asciiTheme="majorHAnsi" w:hAnsiTheme="majorHAnsi" w:cstheme="majorHAnsi"/>
          <w:lang w:val="en-US"/>
        </w:rPr>
        <w:t>5419</w:t>
      </w:r>
      <w:r w:rsidR="0077399B" w:rsidRPr="00DD384B">
        <w:rPr>
          <w:rFonts w:asciiTheme="majorHAnsi" w:hAnsiTheme="majorHAnsi" w:cstheme="majorHAnsi"/>
          <w:lang w:val="en-US"/>
        </w:rPr>
        <w:t xml:space="preserve"> or Toll Free </w:t>
      </w:r>
      <w:r w:rsidR="0077399B" w:rsidRPr="00DD384B">
        <w:rPr>
          <w:rFonts w:asciiTheme="majorHAnsi" w:hAnsiTheme="majorHAnsi" w:cstheme="majorHAnsi"/>
          <w:lang w:val="en"/>
        </w:rPr>
        <w:t>1-</w:t>
      </w:r>
      <w:r w:rsidR="000900EE">
        <w:rPr>
          <w:rFonts w:asciiTheme="majorHAnsi" w:hAnsiTheme="majorHAnsi" w:cstheme="majorHAnsi"/>
          <w:lang w:val="en"/>
        </w:rPr>
        <w:t>855-640-4765.</w:t>
      </w:r>
      <w:r w:rsidR="0077399B" w:rsidRPr="00DD384B">
        <w:rPr>
          <w:rFonts w:asciiTheme="majorHAnsi" w:hAnsiTheme="majorHAnsi" w:cstheme="majorHAnsi"/>
          <w:lang w:val="en"/>
        </w:rPr>
        <w:t xml:space="preserve"> </w:t>
      </w:r>
    </w:p>
    <w:p w14:paraId="014CD797" w14:textId="77777777" w:rsidR="006E295A" w:rsidRPr="00DD384B" w:rsidRDefault="006E295A" w:rsidP="0012300E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7BF76211" w14:textId="77777777" w:rsidR="00A95DA7" w:rsidRPr="00DD384B" w:rsidRDefault="00A95DA7" w:rsidP="0012300E">
      <w:pPr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5C7A1871" w14:textId="77777777" w:rsidR="0012300E" w:rsidRPr="00DD384B" w:rsidRDefault="0012300E" w:rsidP="008C1A4D">
      <w:pPr>
        <w:spacing w:line="276" w:lineRule="auto"/>
        <w:rPr>
          <w:rFonts w:asciiTheme="majorHAnsi" w:hAnsiTheme="majorHAnsi" w:cstheme="majorHAnsi"/>
          <w:lang w:val="en-US"/>
        </w:rPr>
      </w:pPr>
    </w:p>
    <w:sectPr w:rsidR="0012300E" w:rsidRPr="00DD384B" w:rsidSect="005F5A4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8267" w14:textId="77777777" w:rsidR="0041018C" w:rsidRDefault="0041018C" w:rsidP="00E8168B">
      <w:r>
        <w:separator/>
      </w:r>
    </w:p>
  </w:endnote>
  <w:endnote w:type="continuationSeparator" w:id="0">
    <w:p w14:paraId="5779F69B" w14:textId="77777777" w:rsidR="0041018C" w:rsidRDefault="0041018C" w:rsidP="00E8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801B8" w14:textId="77777777" w:rsidR="0041018C" w:rsidRDefault="0041018C" w:rsidP="00CB45A3">
    <w:pPr>
      <w:pStyle w:val="Footer"/>
      <w:rPr>
        <w:rFonts w:asciiTheme="majorHAnsi" w:hAnsiTheme="majorHAnsi" w:cstheme="majorHAnsi"/>
        <w:sz w:val="18"/>
      </w:rPr>
    </w:pPr>
    <w:r>
      <w:rPr>
        <w:noProof/>
        <w:lang w:eastAsia="en-CA"/>
      </w:rPr>
      <w:drawing>
        <wp:inline distT="0" distB="0" distL="0" distR="0" wp14:anchorId="03B2D561" wp14:editId="7EB0A0DC">
          <wp:extent cx="610523" cy="15157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22" cy="15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sz w:val="18"/>
      </w:rPr>
      <w:t xml:space="preserve"> </w:t>
    </w:r>
  </w:p>
  <w:p w14:paraId="6425B12E" w14:textId="57EE42AD" w:rsidR="0041018C" w:rsidRPr="00DD384B" w:rsidRDefault="00AA59F6" w:rsidP="00CB45A3">
    <w:pPr>
      <w:pStyle w:val="Footer"/>
      <w:rPr>
        <w:rFonts w:asciiTheme="majorHAnsi" w:hAnsiTheme="majorHAnsi" w:cstheme="majorHAnsi"/>
        <w:b/>
        <w:sz w:val="18"/>
        <w:szCs w:val="18"/>
      </w:rPr>
    </w:pPr>
    <w:r w:rsidRPr="00AA59F6">
      <w:rPr>
        <w:rFonts w:asciiTheme="majorHAnsi" w:hAnsiTheme="majorHAnsi" w:cstheme="majorHAnsi"/>
        <w:b/>
        <w:sz w:val="18"/>
      </w:rPr>
      <w:t xml:space="preserve">DRAFT </w:t>
    </w:r>
    <w:r w:rsidR="0041018C" w:rsidRPr="00DD384B">
      <w:rPr>
        <w:rFonts w:asciiTheme="majorHAnsi" w:hAnsiTheme="majorHAnsi" w:cstheme="majorHAnsi"/>
        <w:sz w:val="18"/>
      </w:rPr>
      <w:t xml:space="preserve">Template 3-1 </w:t>
    </w:r>
    <w:r w:rsidR="0041018C" w:rsidRPr="00DD384B">
      <w:rPr>
        <w:rFonts w:asciiTheme="majorHAnsi" w:hAnsiTheme="majorHAnsi" w:cstheme="majorHAnsi"/>
        <w:i/>
        <w:sz w:val="18"/>
      </w:rPr>
      <w:t xml:space="preserve">PHIA </w:t>
    </w:r>
    <w:r w:rsidR="0041018C" w:rsidRPr="00DD384B">
      <w:rPr>
        <w:rFonts w:asciiTheme="majorHAnsi" w:hAnsiTheme="majorHAnsi" w:cstheme="majorHAnsi"/>
        <w:sz w:val="18"/>
      </w:rPr>
      <w:t>Compliance Checklist</w:t>
    </w:r>
    <w:r w:rsidR="0041018C" w:rsidRPr="00DD384B">
      <w:rPr>
        <w:rFonts w:asciiTheme="majorHAnsi" w:hAnsiTheme="majorHAnsi" w:cstheme="majorHAnsi"/>
        <w:sz w:val="16"/>
      </w:rPr>
      <w:tab/>
    </w:r>
    <w:r w:rsidR="0041018C" w:rsidRPr="00DD384B">
      <w:rPr>
        <w:rFonts w:asciiTheme="majorHAnsi" w:hAnsiTheme="majorHAnsi" w:cstheme="majorHAnsi"/>
        <w:sz w:val="16"/>
      </w:rPr>
      <w:tab/>
    </w:r>
    <w:r w:rsidR="0041018C" w:rsidRPr="00DD384B">
      <w:rPr>
        <w:rFonts w:asciiTheme="majorHAnsi" w:hAnsiTheme="majorHAnsi" w:cstheme="majorHAnsi"/>
        <w:sz w:val="18"/>
        <w:szCs w:val="18"/>
      </w:rPr>
      <w:t xml:space="preserve">Page </w:t>
    </w:r>
    <w:r w:rsidR="0041018C" w:rsidRPr="00DD384B">
      <w:rPr>
        <w:rFonts w:asciiTheme="majorHAnsi" w:hAnsiTheme="majorHAnsi" w:cstheme="majorHAnsi"/>
        <w:b/>
        <w:sz w:val="18"/>
        <w:szCs w:val="18"/>
      </w:rPr>
      <w:fldChar w:fldCharType="begin"/>
    </w:r>
    <w:r w:rsidR="0041018C" w:rsidRPr="00DD384B">
      <w:rPr>
        <w:rFonts w:asciiTheme="majorHAnsi" w:hAnsiTheme="majorHAnsi" w:cstheme="majorHAnsi"/>
        <w:b/>
        <w:sz w:val="18"/>
        <w:szCs w:val="18"/>
      </w:rPr>
      <w:instrText xml:space="preserve"> PAGE </w:instrText>
    </w:r>
    <w:r w:rsidR="0041018C" w:rsidRPr="00DD384B">
      <w:rPr>
        <w:rFonts w:asciiTheme="majorHAnsi" w:hAnsiTheme="majorHAnsi" w:cstheme="majorHAnsi"/>
        <w:b/>
        <w:sz w:val="18"/>
        <w:szCs w:val="18"/>
      </w:rPr>
      <w:fldChar w:fldCharType="separate"/>
    </w:r>
    <w:r w:rsidR="0061653F">
      <w:rPr>
        <w:rFonts w:asciiTheme="majorHAnsi" w:hAnsiTheme="majorHAnsi" w:cstheme="majorHAnsi"/>
        <w:b/>
        <w:noProof/>
        <w:sz w:val="18"/>
        <w:szCs w:val="18"/>
      </w:rPr>
      <w:t>1</w:t>
    </w:r>
    <w:r w:rsidR="0041018C" w:rsidRPr="00DD384B">
      <w:rPr>
        <w:rFonts w:asciiTheme="majorHAnsi" w:hAnsiTheme="majorHAnsi" w:cstheme="majorHAnsi"/>
        <w:b/>
        <w:sz w:val="18"/>
        <w:szCs w:val="18"/>
      </w:rPr>
      <w:fldChar w:fldCharType="end"/>
    </w:r>
    <w:r w:rsidR="0041018C" w:rsidRPr="00DD384B">
      <w:rPr>
        <w:rFonts w:asciiTheme="majorHAnsi" w:hAnsiTheme="majorHAnsi" w:cstheme="majorHAnsi"/>
        <w:sz w:val="18"/>
        <w:szCs w:val="18"/>
      </w:rPr>
      <w:t xml:space="preserve"> of </w:t>
    </w:r>
    <w:r w:rsidR="0041018C" w:rsidRPr="00DD384B">
      <w:rPr>
        <w:rFonts w:asciiTheme="majorHAnsi" w:hAnsiTheme="majorHAnsi" w:cstheme="majorHAnsi"/>
        <w:b/>
        <w:sz w:val="18"/>
        <w:szCs w:val="18"/>
      </w:rPr>
      <w:fldChar w:fldCharType="begin"/>
    </w:r>
    <w:r w:rsidR="0041018C" w:rsidRPr="00DD384B">
      <w:rPr>
        <w:rFonts w:asciiTheme="majorHAnsi" w:hAnsiTheme="majorHAnsi" w:cstheme="majorHAnsi"/>
        <w:b/>
        <w:sz w:val="18"/>
        <w:szCs w:val="18"/>
      </w:rPr>
      <w:instrText xml:space="preserve"> NUMPAGES  </w:instrText>
    </w:r>
    <w:r w:rsidR="0041018C" w:rsidRPr="00DD384B">
      <w:rPr>
        <w:rFonts w:asciiTheme="majorHAnsi" w:hAnsiTheme="majorHAnsi" w:cstheme="majorHAnsi"/>
        <w:b/>
        <w:sz w:val="18"/>
        <w:szCs w:val="18"/>
      </w:rPr>
      <w:fldChar w:fldCharType="separate"/>
    </w:r>
    <w:r w:rsidR="0061653F">
      <w:rPr>
        <w:rFonts w:asciiTheme="majorHAnsi" w:hAnsiTheme="majorHAnsi" w:cstheme="majorHAnsi"/>
        <w:b/>
        <w:noProof/>
        <w:sz w:val="18"/>
        <w:szCs w:val="18"/>
      </w:rPr>
      <w:t>4</w:t>
    </w:r>
    <w:r w:rsidR="0041018C" w:rsidRPr="00DD384B">
      <w:rPr>
        <w:rFonts w:asciiTheme="majorHAnsi" w:hAnsiTheme="majorHAnsi" w:cstheme="majorHAnsi"/>
        <w:b/>
        <w:sz w:val="18"/>
        <w:szCs w:val="18"/>
      </w:rPr>
      <w:fldChar w:fldCharType="end"/>
    </w:r>
  </w:p>
  <w:p w14:paraId="65989CF1" w14:textId="4FF5B68B" w:rsidR="0041018C" w:rsidRDefault="0061653F">
    <w:pPr>
      <w:pStyle w:val="Footer"/>
      <w:rPr>
        <w:rFonts w:asciiTheme="majorHAnsi" w:hAnsiTheme="majorHAnsi" w:cstheme="majorHAnsi"/>
        <w:sz w:val="18"/>
        <w:szCs w:val="18"/>
      </w:rPr>
    </w:pPr>
    <w:hyperlink r:id="rId2" w:history="1">
      <w:r w:rsidR="00344270" w:rsidRPr="001E2F7B">
        <w:rPr>
          <w:rStyle w:val="Hyperlink"/>
          <w:rFonts w:asciiTheme="majorHAnsi" w:hAnsiTheme="majorHAnsi" w:cstheme="majorHAnsi"/>
          <w:sz w:val="18"/>
          <w:szCs w:val="18"/>
        </w:rPr>
        <w:t>www.novascotia.ca/DHW/PHIA</w:t>
      </w:r>
    </w:hyperlink>
    <w:r w:rsidR="00344270">
      <w:rPr>
        <w:rFonts w:asciiTheme="majorHAnsi" w:hAnsiTheme="majorHAnsi" w:cstheme="majorHAnsi"/>
        <w:sz w:val="18"/>
        <w:szCs w:val="18"/>
      </w:rPr>
      <w:t xml:space="preserve"> </w:t>
    </w:r>
  </w:p>
  <w:p w14:paraId="530C0B5F" w14:textId="59928732" w:rsidR="000900EE" w:rsidRPr="007C4798" w:rsidRDefault="00CA33CD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Revised </w:t>
    </w:r>
    <w:r w:rsidR="0061653F">
      <w:rPr>
        <w:rFonts w:asciiTheme="majorHAnsi" w:hAnsiTheme="majorHAnsi" w:cstheme="majorHAnsi"/>
        <w:sz w:val="18"/>
        <w:szCs w:val="18"/>
      </w:rPr>
      <w:t>July</w:t>
    </w:r>
    <w:r w:rsidR="00AA59F6">
      <w:rPr>
        <w:rFonts w:asciiTheme="majorHAnsi" w:hAnsiTheme="majorHAnsi" w:cstheme="majorHAnsi"/>
        <w:sz w:val="18"/>
        <w:szCs w:val="18"/>
      </w:rPr>
      <w:t xml:space="preserve"> 1</w:t>
    </w:r>
    <w:r w:rsidR="00AA59F6" w:rsidRPr="00AA59F6">
      <w:rPr>
        <w:rFonts w:asciiTheme="majorHAnsi" w:hAnsiTheme="majorHAnsi" w:cstheme="majorHAnsi"/>
        <w:sz w:val="18"/>
        <w:szCs w:val="18"/>
        <w:vertAlign w:val="superscript"/>
      </w:rPr>
      <w:t>st</w:t>
    </w:r>
    <w:r w:rsidR="000900EE">
      <w:rPr>
        <w:rFonts w:asciiTheme="majorHAnsi" w:hAnsiTheme="majorHAnsi" w:cstheme="majorHAnsi"/>
        <w:sz w:val="18"/>
        <w:szCs w:val="18"/>
      </w:rPr>
      <w:t xml:space="preserve">,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8C94" w14:textId="77777777" w:rsidR="0041018C" w:rsidRDefault="0041018C" w:rsidP="00E8168B">
      <w:r>
        <w:separator/>
      </w:r>
    </w:p>
  </w:footnote>
  <w:footnote w:type="continuationSeparator" w:id="0">
    <w:p w14:paraId="1FAE9AD6" w14:textId="77777777" w:rsidR="0041018C" w:rsidRDefault="0041018C" w:rsidP="00E8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62E56" w14:textId="2E210EB8" w:rsidR="00184675" w:rsidRDefault="00184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6042" w14:textId="453E7ABE" w:rsidR="0041018C" w:rsidRPr="00DD384B" w:rsidRDefault="0041018C" w:rsidP="00482CF7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DD384B">
      <w:rPr>
        <w:rFonts w:asciiTheme="majorHAnsi" w:hAnsiTheme="majorHAnsi" w:cstheme="majorHAnsi"/>
        <w:sz w:val="22"/>
        <w:szCs w:val="22"/>
      </w:rPr>
      <w:t>TEMPLATE 3-1</w:t>
    </w:r>
  </w:p>
  <w:p w14:paraId="17043C47" w14:textId="3894991F" w:rsidR="0041018C" w:rsidRDefault="00410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3A62" w14:textId="0A3BAB23" w:rsidR="00184675" w:rsidRDefault="00184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A0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1588"/>
    <w:multiLevelType w:val="hybridMultilevel"/>
    <w:tmpl w:val="70AC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1CA7"/>
    <w:multiLevelType w:val="hybridMultilevel"/>
    <w:tmpl w:val="05FCD718"/>
    <w:lvl w:ilvl="0" w:tplc="CCF0C7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21E4C"/>
    <w:multiLevelType w:val="hybridMultilevel"/>
    <w:tmpl w:val="F02C5A9C"/>
    <w:lvl w:ilvl="0" w:tplc="2918F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306"/>
    <w:multiLevelType w:val="hybridMultilevel"/>
    <w:tmpl w:val="59B62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A957E1"/>
    <w:multiLevelType w:val="hybridMultilevel"/>
    <w:tmpl w:val="425E8B24"/>
    <w:lvl w:ilvl="0" w:tplc="CCF0C7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16B6"/>
    <w:multiLevelType w:val="hybridMultilevel"/>
    <w:tmpl w:val="FDC4FEE4"/>
    <w:lvl w:ilvl="0" w:tplc="2918F1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518A6"/>
    <w:multiLevelType w:val="hybridMultilevel"/>
    <w:tmpl w:val="F92E0562"/>
    <w:lvl w:ilvl="0" w:tplc="E57C5708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AA2"/>
    <w:multiLevelType w:val="hybridMultilevel"/>
    <w:tmpl w:val="E94A7A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004D1"/>
    <w:multiLevelType w:val="hybridMultilevel"/>
    <w:tmpl w:val="ACDAB384"/>
    <w:lvl w:ilvl="0" w:tplc="2AEE627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D61D6"/>
    <w:multiLevelType w:val="hybridMultilevel"/>
    <w:tmpl w:val="166A20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32BA1"/>
    <w:multiLevelType w:val="hybridMultilevel"/>
    <w:tmpl w:val="064E3290"/>
    <w:lvl w:ilvl="0" w:tplc="900CC9BE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B"/>
    <w:rsid w:val="00015684"/>
    <w:rsid w:val="000351E6"/>
    <w:rsid w:val="00047211"/>
    <w:rsid w:val="00077B69"/>
    <w:rsid w:val="000900EE"/>
    <w:rsid w:val="000A2328"/>
    <w:rsid w:val="000B2B56"/>
    <w:rsid w:val="000D2E7E"/>
    <w:rsid w:val="00111C64"/>
    <w:rsid w:val="0012300E"/>
    <w:rsid w:val="00141D21"/>
    <w:rsid w:val="00153825"/>
    <w:rsid w:val="00173BB0"/>
    <w:rsid w:val="00183009"/>
    <w:rsid w:val="00184675"/>
    <w:rsid w:val="001A0A9D"/>
    <w:rsid w:val="001A455C"/>
    <w:rsid w:val="001B12D0"/>
    <w:rsid w:val="001B4594"/>
    <w:rsid w:val="001C78D6"/>
    <w:rsid w:val="002050CC"/>
    <w:rsid w:val="00205B0A"/>
    <w:rsid w:val="00220A47"/>
    <w:rsid w:val="00265134"/>
    <w:rsid w:val="00295B76"/>
    <w:rsid w:val="002D6FB7"/>
    <w:rsid w:val="002E7149"/>
    <w:rsid w:val="003026A4"/>
    <w:rsid w:val="00333719"/>
    <w:rsid w:val="00344270"/>
    <w:rsid w:val="00367513"/>
    <w:rsid w:val="00374E61"/>
    <w:rsid w:val="003C7D9E"/>
    <w:rsid w:val="0041018C"/>
    <w:rsid w:val="00482CF7"/>
    <w:rsid w:val="004E59A1"/>
    <w:rsid w:val="004F0A9B"/>
    <w:rsid w:val="005119AD"/>
    <w:rsid w:val="0051615A"/>
    <w:rsid w:val="0052353B"/>
    <w:rsid w:val="00557512"/>
    <w:rsid w:val="00573D8B"/>
    <w:rsid w:val="005A3C06"/>
    <w:rsid w:val="005B3796"/>
    <w:rsid w:val="005C44D6"/>
    <w:rsid w:val="005D3E00"/>
    <w:rsid w:val="005D56A9"/>
    <w:rsid w:val="005F5A4C"/>
    <w:rsid w:val="006010D0"/>
    <w:rsid w:val="00614A4E"/>
    <w:rsid w:val="0061653F"/>
    <w:rsid w:val="00651280"/>
    <w:rsid w:val="00653948"/>
    <w:rsid w:val="00656338"/>
    <w:rsid w:val="00667731"/>
    <w:rsid w:val="00684CBD"/>
    <w:rsid w:val="006B5CF9"/>
    <w:rsid w:val="006E295A"/>
    <w:rsid w:val="00700324"/>
    <w:rsid w:val="007034DA"/>
    <w:rsid w:val="007231F8"/>
    <w:rsid w:val="0073391D"/>
    <w:rsid w:val="00744221"/>
    <w:rsid w:val="007566C7"/>
    <w:rsid w:val="00772F4C"/>
    <w:rsid w:val="0077399B"/>
    <w:rsid w:val="00790B51"/>
    <w:rsid w:val="007A61C3"/>
    <w:rsid w:val="007A7559"/>
    <w:rsid w:val="007B2872"/>
    <w:rsid w:val="007B5CD4"/>
    <w:rsid w:val="007C1383"/>
    <w:rsid w:val="007C14D0"/>
    <w:rsid w:val="007C4798"/>
    <w:rsid w:val="007C7CEB"/>
    <w:rsid w:val="007F32AD"/>
    <w:rsid w:val="00800A77"/>
    <w:rsid w:val="0082227D"/>
    <w:rsid w:val="00831D66"/>
    <w:rsid w:val="00847F22"/>
    <w:rsid w:val="00871E90"/>
    <w:rsid w:val="008A172C"/>
    <w:rsid w:val="008C1A4D"/>
    <w:rsid w:val="008D43AC"/>
    <w:rsid w:val="00903A3F"/>
    <w:rsid w:val="00914904"/>
    <w:rsid w:val="00940D07"/>
    <w:rsid w:val="00945655"/>
    <w:rsid w:val="00966110"/>
    <w:rsid w:val="009730F8"/>
    <w:rsid w:val="00977302"/>
    <w:rsid w:val="0098237D"/>
    <w:rsid w:val="009A1176"/>
    <w:rsid w:val="009B4469"/>
    <w:rsid w:val="009C6C79"/>
    <w:rsid w:val="00A1763D"/>
    <w:rsid w:val="00A87994"/>
    <w:rsid w:val="00A95DA7"/>
    <w:rsid w:val="00AA59F6"/>
    <w:rsid w:val="00AB20AF"/>
    <w:rsid w:val="00B00B91"/>
    <w:rsid w:val="00B2702A"/>
    <w:rsid w:val="00B51767"/>
    <w:rsid w:val="00B520B7"/>
    <w:rsid w:val="00B5393B"/>
    <w:rsid w:val="00B734EE"/>
    <w:rsid w:val="00BB2D63"/>
    <w:rsid w:val="00BD7B27"/>
    <w:rsid w:val="00BD7EAB"/>
    <w:rsid w:val="00C42016"/>
    <w:rsid w:val="00C466D5"/>
    <w:rsid w:val="00C47ADA"/>
    <w:rsid w:val="00C60F1E"/>
    <w:rsid w:val="00C66905"/>
    <w:rsid w:val="00C73D8B"/>
    <w:rsid w:val="00C937A3"/>
    <w:rsid w:val="00C94274"/>
    <w:rsid w:val="00C967B5"/>
    <w:rsid w:val="00CA33CD"/>
    <w:rsid w:val="00CB45A3"/>
    <w:rsid w:val="00CE774E"/>
    <w:rsid w:val="00D03B9E"/>
    <w:rsid w:val="00D269DD"/>
    <w:rsid w:val="00D46F7A"/>
    <w:rsid w:val="00DA75F1"/>
    <w:rsid w:val="00DB77C5"/>
    <w:rsid w:val="00DD384B"/>
    <w:rsid w:val="00DE6530"/>
    <w:rsid w:val="00DF7DB2"/>
    <w:rsid w:val="00E8168B"/>
    <w:rsid w:val="00E876E6"/>
    <w:rsid w:val="00E92E85"/>
    <w:rsid w:val="00EA0270"/>
    <w:rsid w:val="00EB2079"/>
    <w:rsid w:val="00EB707B"/>
    <w:rsid w:val="00ED1788"/>
    <w:rsid w:val="00EE30D1"/>
    <w:rsid w:val="00EE5EDF"/>
    <w:rsid w:val="00EF4F87"/>
    <w:rsid w:val="00F10605"/>
    <w:rsid w:val="00F231FD"/>
    <w:rsid w:val="00F64206"/>
    <w:rsid w:val="00F7198A"/>
    <w:rsid w:val="00F7675C"/>
    <w:rsid w:val="00F7759C"/>
    <w:rsid w:val="00FA5C7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40"/>
    <o:shapelayout v:ext="edit">
      <o:idmap v:ext="edit" data="1"/>
    </o:shapelayout>
  </w:shapeDefaults>
  <w:decimalSymbol w:val="."/>
  <w:listSeparator w:val=","/>
  <w14:docId w14:val="72AC5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A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93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E81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68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E81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68B"/>
    <w:rPr>
      <w:sz w:val="24"/>
      <w:szCs w:val="24"/>
      <w:lang w:val="en-CA"/>
    </w:rPr>
  </w:style>
  <w:style w:type="table" w:styleId="TableGrid">
    <w:name w:val="Table Grid"/>
    <w:basedOn w:val="TableNormal"/>
    <w:rsid w:val="0051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EB707B"/>
    <w:rPr>
      <w:sz w:val="20"/>
      <w:szCs w:val="20"/>
    </w:rPr>
  </w:style>
  <w:style w:type="character" w:customStyle="1" w:styleId="EndnoteTextChar">
    <w:name w:val="Endnote Text Char"/>
    <w:link w:val="EndnoteText"/>
    <w:rsid w:val="00EB707B"/>
    <w:rPr>
      <w:lang w:val="en-CA"/>
    </w:rPr>
  </w:style>
  <w:style w:type="character" w:styleId="EndnoteReference">
    <w:name w:val="endnote reference"/>
    <w:rsid w:val="00EB707B"/>
    <w:rPr>
      <w:vertAlign w:val="superscript"/>
    </w:rPr>
  </w:style>
  <w:style w:type="character" w:styleId="Strong">
    <w:name w:val="Strong"/>
    <w:uiPriority w:val="22"/>
    <w:qFormat/>
    <w:rsid w:val="0012300E"/>
    <w:rPr>
      <w:b/>
      <w:bCs/>
    </w:rPr>
  </w:style>
  <w:style w:type="character" w:styleId="Hyperlink">
    <w:name w:val="Hyperlink"/>
    <w:rsid w:val="00A95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91D"/>
    <w:pPr>
      <w:ind w:left="720"/>
    </w:pPr>
  </w:style>
  <w:style w:type="character" w:styleId="Emphasis">
    <w:name w:val="Emphasis"/>
    <w:basedOn w:val="DefaultParagraphFont"/>
    <w:qFormat/>
    <w:rsid w:val="00ED1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A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93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E81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68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E81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68B"/>
    <w:rPr>
      <w:sz w:val="24"/>
      <w:szCs w:val="24"/>
      <w:lang w:val="en-CA"/>
    </w:rPr>
  </w:style>
  <w:style w:type="table" w:styleId="TableGrid">
    <w:name w:val="Table Grid"/>
    <w:basedOn w:val="TableNormal"/>
    <w:rsid w:val="0051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EB707B"/>
    <w:rPr>
      <w:sz w:val="20"/>
      <w:szCs w:val="20"/>
    </w:rPr>
  </w:style>
  <w:style w:type="character" w:customStyle="1" w:styleId="EndnoteTextChar">
    <w:name w:val="Endnote Text Char"/>
    <w:link w:val="EndnoteText"/>
    <w:rsid w:val="00EB707B"/>
    <w:rPr>
      <w:lang w:val="en-CA"/>
    </w:rPr>
  </w:style>
  <w:style w:type="character" w:styleId="EndnoteReference">
    <w:name w:val="endnote reference"/>
    <w:rsid w:val="00EB707B"/>
    <w:rPr>
      <w:vertAlign w:val="superscript"/>
    </w:rPr>
  </w:style>
  <w:style w:type="character" w:styleId="Strong">
    <w:name w:val="Strong"/>
    <w:uiPriority w:val="22"/>
    <w:qFormat/>
    <w:rsid w:val="0012300E"/>
    <w:rPr>
      <w:b/>
      <w:bCs/>
    </w:rPr>
  </w:style>
  <w:style w:type="character" w:styleId="Hyperlink">
    <w:name w:val="Hyperlink"/>
    <w:rsid w:val="00A95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91D"/>
    <w:pPr>
      <w:ind w:left="720"/>
    </w:pPr>
  </w:style>
  <w:style w:type="character" w:styleId="Emphasis">
    <w:name w:val="Emphasis"/>
    <w:basedOn w:val="DefaultParagraphFont"/>
    <w:qFormat/>
    <w:rsid w:val="00ED1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cotia.ca/DHW/PHI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ia@gov.n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scotia.ca/DHW/PHI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otia.ca/DHW/PHI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5348</CharactersWithSpaces>
  <SharedDoc>false</SharedDoc>
  <HLinks>
    <vt:vector size="18" baseType="variant">
      <vt:variant>
        <vt:i4>6946834</vt:i4>
      </vt:variant>
      <vt:variant>
        <vt:i4>6</vt:i4>
      </vt:variant>
      <vt:variant>
        <vt:i4>0</vt:i4>
      </vt:variant>
      <vt:variant>
        <vt:i4>5</vt:i4>
      </vt:variant>
      <vt:variant>
        <vt:lpwstr>mailto:phia@gov.ns.ca</vt:lpwstr>
      </vt:variant>
      <vt:variant>
        <vt:lpwstr/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http://www.gov.ns.ca/health/phia</vt:lpwstr>
      </vt:variant>
      <vt:variant>
        <vt:lpwstr/>
      </vt:variant>
      <vt:variant>
        <vt:i4>4194390</vt:i4>
      </vt:variant>
      <vt:variant>
        <vt:i4>0</vt:i4>
      </vt:variant>
      <vt:variant>
        <vt:i4>0</vt:i4>
      </vt:variant>
      <vt:variant>
        <vt:i4>5</vt:i4>
      </vt:variant>
      <vt:variant>
        <vt:lpwstr>http://www.gov.ns.ca/health/phia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Wellness</dc:creator>
  <cp:lastModifiedBy>Suellen J.  Murray</cp:lastModifiedBy>
  <cp:revision>5</cp:revision>
  <cp:lastPrinted>2013-06-25T15:16:00Z</cp:lastPrinted>
  <dcterms:created xsi:type="dcterms:W3CDTF">2013-07-15T16:42:00Z</dcterms:created>
  <dcterms:modified xsi:type="dcterms:W3CDTF">2013-07-31T15:17:00Z</dcterms:modified>
</cp:coreProperties>
</file>